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EC5" w:rsidRDefault="00A76EC5"/>
    <w:p w:rsidR="0040441F" w:rsidRDefault="0040441F"/>
    <w:p w:rsidR="0040441F" w:rsidRPr="0040441F" w:rsidRDefault="0040441F" w:rsidP="0040441F">
      <w:pPr>
        <w:shd w:val="clear" w:color="auto" w:fill="FFFFFF"/>
        <w:spacing w:line="264" w:lineRule="atLeast"/>
        <w:outlineLvl w:val="0"/>
        <w:rPr>
          <w:rFonts w:ascii="Times New Roman" w:eastAsia="Times New Roman" w:hAnsi="Times New Roman" w:cs="Times New Roman"/>
          <w:color w:val="777777"/>
          <w:kern w:val="36"/>
          <w:sz w:val="42"/>
          <w:szCs w:val="42"/>
        </w:rPr>
      </w:pPr>
      <w:r w:rsidRPr="0040441F">
        <w:rPr>
          <w:rFonts w:ascii="Times New Roman" w:eastAsia="Times New Roman" w:hAnsi="Times New Roman" w:cs="Times New Roman"/>
          <w:color w:val="777777"/>
          <w:kern w:val="36"/>
          <w:sz w:val="42"/>
          <w:szCs w:val="42"/>
        </w:rPr>
        <w:t>The Ethics and Practice of Social Media Advocacy in Rehabilitation Counseling</w:t>
      </w:r>
    </w:p>
    <w:p w:rsidR="0040441F" w:rsidRPr="0040441F" w:rsidRDefault="0040441F" w:rsidP="0040441F">
      <w:pPr>
        <w:shd w:val="clear" w:color="auto" w:fill="FFFFFF"/>
        <w:rPr>
          <w:rFonts w:ascii="Helvetica" w:eastAsia="Times New Roman" w:hAnsi="Helvetica" w:cs="Helvetica"/>
          <w:color w:val="555555"/>
          <w:sz w:val="21"/>
          <w:szCs w:val="21"/>
        </w:rPr>
      </w:pPr>
      <w:hyperlink r:id="rId6" w:tooltip="Click to search for more items by this author" w:history="1">
        <w:r w:rsidRPr="0040441F">
          <w:rPr>
            <w:rFonts w:ascii="Helvetica" w:eastAsia="Times New Roman" w:hAnsi="Helvetica" w:cs="Helvetica"/>
            <w:color w:val="2A5DB0"/>
            <w:sz w:val="21"/>
            <w:szCs w:val="21"/>
            <w:u w:val="single"/>
          </w:rPr>
          <w:t>Hartley, Michael T</w:t>
        </w:r>
      </w:hyperlink>
      <w:r w:rsidRPr="0040441F">
        <w:rPr>
          <w:rFonts w:ascii="Helvetica" w:eastAsia="Times New Roman" w:hAnsi="Helvetica" w:cs="Helvetica"/>
          <w:color w:val="555555"/>
          <w:sz w:val="21"/>
          <w:szCs w:val="21"/>
        </w:rPr>
        <w:t>; </w:t>
      </w:r>
      <w:hyperlink r:id="rId7" w:tooltip="Click to search for more items by this author" w:history="1">
        <w:r w:rsidRPr="0040441F">
          <w:rPr>
            <w:rFonts w:ascii="Helvetica" w:eastAsia="Times New Roman" w:hAnsi="Helvetica" w:cs="Helvetica"/>
            <w:color w:val="2A5DB0"/>
            <w:sz w:val="21"/>
            <w:szCs w:val="21"/>
            <w:u w:val="single"/>
          </w:rPr>
          <w:t>Johnston, Sara P</w:t>
        </w:r>
      </w:hyperlink>
      <w:r w:rsidRPr="0040441F">
        <w:rPr>
          <w:rFonts w:ascii="Helvetica" w:eastAsia="Times New Roman" w:hAnsi="Helvetica" w:cs="Helvetica"/>
          <w:color w:val="555555"/>
          <w:sz w:val="21"/>
          <w:szCs w:val="21"/>
        </w:rPr>
        <w:t>; </w:t>
      </w:r>
      <w:proofErr w:type="spellStart"/>
      <w:r w:rsidRPr="0040441F">
        <w:rPr>
          <w:rFonts w:ascii="Helvetica" w:eastAsia="Times New Roman" w:hAnsi="Helvetica" w:cs="Helvetica"/>
          <w:color w:val="555555"/>
          <w:sz w:val="21"/>
          <w:szCs w:val="21"/>
        </w:rPr>
        <w:fldChar w:fldCharType="begin"/>
      </w:r>
      <w:r w:rsidRPr="0040441F">
        <w:rPr>
          <w:rFonts w:ascii="Helvetica" w:eastAsia="Times New Roman" w:hAnsi="Helvetica" w:cs="Helvetica"/>
          <w:color w:val="555555"/>
          <w:sz w:val="21"/>
          <w:szCs w:val="21"/>
        </w:rPr>
        <w:instrText xml:space="preserve"> HYPERLINK "https://search-proquest-com.contentproxy.phoenix.edu/indexinglinkhandler/sng/au/Tarvydas,+Vilia+M/$N?accountid=134061" \o "Click to search for more items by this author" </w:instrText>
      </w:r>
      <w:r w:rsidRPr="0040441F">
        <w:rPr>
          <w:rFonts w:ascii="Helvetica" w:eastAsia="Times New Roman" w:hAnsi="Helvetica" w:cs="Helvetica"/>
          <w:color w:val="555555"/>
          <w:sz w:val="21"/>
          <w:szCs w:val="21"/>
        </w:rPr>
        <w:fldChar w:fldCharType="separate"/>
      </w:r>
      <w:r w:rsidRPr="0040441F">
        <w:rPr>
          <w:rFonts w:ascii="Helvetica" w:eastAsia="Times New Roman" w:hAnsi="Helvetica" w:cs="Helvetica"/>
          <w:color w:val="2A5DB0"/>
          <w:sz w:val="21"/>
          <w:szCs w:val="21"/>
          <w:u w:val="single"/>
        </w:rPr>
        <w:t>Tarvydas</w:t>
      </w:r>
      <w:proofErr w:type="spellEnd"/>
      <w:r w:rsidRPr="0040441F">
        <w:rPr>
          <w:rFonts w:ascii="Helvetica" w:eastAsia="Times New Roman" w:hAnsi="Helvetica" w:cs="Helvetica"/>
          <w:color w:val="2A5DB0"/>
          <w:sz w:val="21"/>
          <w:szCs w:val="21"/>
          <w:u w:val="single"/>
        </w:rPr>
        <w:t xml:space="preserve">, </w:t>
      </w:r>
      <w:proofErr w:type="spellStart"/>
      <w:r w:rsidRPr="0040441F">
        <w:rPr>
          <w:rFonts w:ascii="Helvetica" w:eastAsia="Times New Roman" w:hAnsi="Helvetica" w:cs="Helvetica"/>
          <w:color w:val="2A5DB0"/>
          <w:sz w:val="21"/>
          <w:szCs w:val="21"/>
          <w:u w:val="single"/>
        </w:rPr>
        <w:t>Vilia</w:t>
      </w:r>
      <w:proofErr w:type="spellEnd"/>
      <w:r w:rsidRPr="0040441F">
        <w:rPr>
          <w:rFonts w:ascii="Helvetica" w:eastAsia="Times New Roman" w:hAnsi="Helvetica" w:cs="Helvetica"/>
          <w:color w:val="2A5DB0"/>
          <w:sz w:val="21"/>
          <w:szCs w:val="21"/>
          <w:u w:val="single"/>
        </w:rPr>
        <w:t xml:space="preserve"> </w:t>
      </w:r>
      <w:proofErr w:type="spellStart"/>
      <w:r w:rsidRPr="0040441F">
        <w:rPr>
          <w:rFonts w:ascii="Helvetica" w:eastAsia="Times New Roman" w:hAnsi="Helvetica" w:cs="Helvetica"/>
          <w:color w:val="2A5DB0"/>
          <w:sz w:val="21"/>
          <w:szCs w:val="21"/>
          <w:u w:val="single"/>
        </w:rPr>
        <w:t>M</w:t>
      </w:r>
      <w:r w:rsidRPr="0040441F">
        <w:rPr>
          <w:rFonts w:ascii="Helvetica" w:eastAsia="Times New Roman" w:hAnsi="Helvetica" w:cs="Helvetica"/>
          <w:color w:val="555555"/>
          <w:sz w:val="21"/>
          <w:szCs w:val="21"/>
        </w:rPr>
        <w:fldChar w:fldCharType="end"/>
      </w:r>
      <w:r w:rsidRPr="0040441F">
        <w:rPr>
          <w:rFonts w:ascii="Helvetica" w:eastAsia="Times New Roman" w:hAnsi="Helvetica" w:cs="Helvetica"/>
          <w:color w:val="555555"/>
          <w:sz w:val="21"/>
          <w:szCs w:val="21"/>
        </w:rPr>
        <w:t>.</w:t>
      </w:r>
      <w:hyperlink r:id="rId8" w:tooltip="Click to search for more items from this journal" w:history="1">
        <w:proofErr w:type="gramStart"/>
        <w:r w:rsidRPr="0040441F">
          <w:rPr>
            <w:rFonts w:ascii="Helvetica" w:eastAsia="Times New Roman" w:hAnsi="Helvetica" w:cs="Helvetica"/>
            <w:b/>
            <w:bCs/>
            <w:color w:val="2A5DB0"/>
            <w:sz w:val="21"/>
            <w:szCs w:val="21"/>
          </w:rPr>
          <w:t>Journal</w:t>
        </w:r>
        <w:proofErr w:type="spellEnd"/>
        <w:r w:rsidRPr="0040441F">
          <w:rPr>
            <w:rFonts w:ascii="Helvetica" w:eastAsia="Times New Roman" w:hAnsi="Helvetica" w:cs="Helvetica"/>
            <w:b/>
            <w:bCs/>
            <w:color w:val="2A5DB0"/>
            <w:sz w:val="21"/>
            <w:szCs w:val="21"/>
          </w:rPr>
          <w:t xml:space="preserve"> of Rehabilitation</w:t>
        </w:r>
      </w:hyperlink>
      <w:r w:rsidRPr="0040441F">
        <w:rPr>
          <w:rFonts w:ascii="Helvetica" w:eastAsia="Times New Roman" w:hAnsi="Helvetica" w:cs="Helvetica"/>
          <w:b/>
          <w:bCs/>
          <w:color w:val="555555"/>
          <w:sz w:val="21"/>
          <w:szCs w:val="21"/>
        </w:rPr>
        <w:t>; Alexandria</w:t>
      </w:r>
      <w:hyperlink r:id="rId9" w:tooltip="Click to search for more items from this issue" w:history="1">
        <w:r w:rsidRPr="0040441F">
          <w:rPr>
            <w:rFonts w:ascii="Helvetica" w:eastAsia="Times New Roman" w:hAnsi="Helvetica" w:cs="Helvetica"/>
            <w:color w:val="2A5DB0"/>
            <w:sz w:val="21"/>
            <w:szCs w:val="21"/>
            <w:u w:val="single"/>
          </w:rPr>
          <w:t> Vol. 81, </w:t>
        </w:r>
        <w:proofErr w:type="spellStart"/>
        <w:r w:rsidRPr="0040441F">
          <w:rPr>
            <w:rFonts w:ascii="Helvetica" w:eastAsia="Times New Roman" w:hAnsi="Helvetica" w:cs="Helvetica"/>
            <w:color w:val="2A5DB0"/>
            <w:sz w:val="21"/>
            <w:szCs w:val="21"/>
            <w:u w:val="single"/>
          </w:rPr>
          <w:t>Iss</w:t>
        </w:r>
        <w:proofErr w:type="spellEnd"/>
        <w:r w:rsidRPr="0040441F">
          <w:rPr>
            <w:rFonts w:ascii="Helvetica" w:eastAsia="Times New Roman" w:hAnsi="Helvetica" w:cs="Helvetica"/>
            <w:color w:val="2A5DB0"/>
            <w:sz w:val="21"/>
            <w:szCs w:val="21"/>
            <w:u w:val="single"/>
          </w:rPr>
          <w:t>.</w:t>
        </w:r>
        <w:proofErr w:type="gramEnd"/>
        <w:r w:rsidRPr="0040441F">
          <w:rPr>
            <w:rFonts w:ascii="Helvetica" w:eastAsia="Times New Roman" w:hAnsi="Helvetica" w:cs="Helvetica"/>
            <w:color w:val="2A5DB0"/>
            <w:sz w:val="21"/>
            <w:szCs w:val="21"/>
            <w:u w:val="single"/>
          </w:rPr>
          <w:t> 1, </w:t>
        </w:r>
      </w:hyperlink>
      <w:r w:rsidRPr="0040441F">
        <w:rPr>
          <w:rFonts w:ascii="Helvetica" w:eastAsia="Times New Roman" w:hAnsi="Helvetica" w:cs="Helvetica"/>
          <w:color w:val="555555"/>
          <w:sz w:val="21"/>
          <w:szCs w:val="21"/>
        </w:rPr>
        <w:t> (Jan-Mar 2015): 42-51.</w:t>
      </w:r>
    </w:p>
    <w:p w:rsidR="0040441F" w:rsidRPr="0040441F" w:rsidRDefault="0040441F" w:rsidP="0040441F">
      <w:pPr>
        <w:shd w:val="clear" w:color="auto" w:fill="FFFFFF"/>
        <w:outlineLvl w:val="1"/>
        <w:rPr>
          <w:rFonts w:ascii="Times New Roman" w:eastAsia="Times New Roman" w:hAnsi="Times New Roman" w:cs="Times New Roman"/>
          <w:color w:val="777777"/>
          <w:sz w:val="36"/>
          <w:szCs w:val="36"/>
        </w:rPr>
      </w:pPr>
      <w:r w:rsidRPr="0040441F">
        <w:rPr>
          <w:rFonts w:ascii="Times New Roman" w:eastAsia="Times New Roman" w:hAnsi="Times New Roman" w:cs="Times New Roman"/>
          <w:color w:val="777777"/>
          <w:sz w:val="36"/>
          <w:szCs w:val="36"/>
        </w:rPr>
        <w:t>Abstract</w:t>
      </w:r>
    </w:p>
    <w:p w:rsidR="0040441F" w:rsidRPr="0040441F" w:rsidRDefault="0040441F" w:rsidP="0040441F">
      <w:pPr>
        <w:numPr>
          <w:ilvl w:val="0"/>
          <w:numId w:val="4"/>
        </w:numPr>
        <w:shd w:val="clear" w:color="auto" w:fill="FFFFFF"/>
        <w:ind w:left="150"/>
        <w:textAlignment w:val="top"/>
        <w:rPr>
          <w:rFonts w:ascii="Helvetica" w:eastAsia="Times New Roman" w:hAnsi="Helvetica" w:cs="Helvetica"/>
          <w:color w:val="555555"/>
          <w:sz w:val="21"/>
          <w:szCs w:val="21"/>
        </w:rPr>
      </w:pPr>
    </w:p>
    <w:p w:rsidR="0040441F" w:rsidRPr="0040441F" w:rsidRDefault="0040441F" w:rsidP="0040441F">
      <w:pPr>
        <w:shd w:val="clear" w:color="auto" w:fill="FFFFFF"/>
        <w:spacing w:line="360" w:lineRule="atLeast"/>
        <w:rPr>
          <w:rFonts w:ascii="Helvetica" w:eastAsia="Times New Roman" w:hAnsi="Helvetica" w:cs="Helvetica"/>
          <w:color w:val="555555"/>
          <w:sz w:val="21"/>
          <w:szCs w:val="21"/>
        </w:rPr>
      </w:pPr>
      <w:r w:rsidRPr="0040441F">
        <w:rPr>
          <w:rFonts w:ascii="Helvetica" w:eastAsia="Times New Roman" w:hAnsi="Helvetica" w:cs="Helvetica"/>
          <w:b/>
          <w:bCs/>
          <w:color w:val="555555"/>
          <w:sz w:val="21"/>
          <w:szCs w:val="21"/>
        </w:rPr>
        <w:t>Headnote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The purpose of this article is to present the concept of social media advocacy as a way for rehabilitation counselors to assist clients who have experienced marginalization in claiming a sense of power and control over their environments. However, assisting clients to self-advocate is a complex process; therefore, a second purpose of this article is to discuss the ethics and practice of using social media to assist clients to self-advocate.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Advocacy is a role and function of rehabilitation counseling (Leahy, Chan, &amp; Saunders, 2003; Leahy, </w:t>
      </w:r>
      <w:proofErr w:type="spellStart"/>
      <w:r w:rsidRPr="0040441F">
        <w:rPr>
          <w:rFonts w:ascii="Helvetica" w:eastAsia="Times New Roman" w:hAnsi="Helvetica" w:cs="Helvetica"/>
          <w:color w:val="555555"/>
          <w:sz w:val="21"/>
          <w:szCs w:val="21"/>
        </w:rPr>
        <w:t>Muenzen</w:t>
      </w:r>
      <w:proofErr w:type="spellEnd"/>
      <w:r w:rsidRPr="0040441F">
        <w:rPr>
          <w:rFonts w:ascii="Helvetica" w:eastAsia="Times New Roman" w:hAnsi="Helvetica" w:cs="Helvetica"/>
          <w:color w:val="555555"/>
          <w:sz w:val="21"/>
          <w:szCs w:val="21"/>
        </w:rPr>
        <w:t xml:space="preserve">, Saunders, &amp; </w:t>
      </w:r>
      <w:proofErr w:type="spellStart"/>
      <w:r w:rsidRPr="0040441F">
        <w:rPr>
          <w:rFonts w:ascii="Helvetica" w:eastAsia="Times New Roman" w:hAnsi="Helvetica" w:cs="Helvetica"/>
          <w:color w:val="555555"/>
          <w:sz w:val="21"/>
          <w:szCs w:val="21"/>
        </w:rPr>
        <w:t>Strauser</w:t>
      </w:r>
      <w:proofErr w:type="spellEnd"/>
      <w:r w:rsidRPr="0040441F">
        <w:rPr>
          <w:rFonts w:ascii="Helvetica" w:eastAsia="Times New Roman" w:hAnsi="Helvetica" w:cs="Helvetica"/>
          <w:color w:val="555555"/>
          <w:sz w:val="21"/>
          <w:szCs w:val="21"/>
        </w:rPr>
        <w:t>, 2009). Over the last century, rehabilitation counseling has been an important mechanism for offsetting social disadvantage through legislation and policymaking efforts (</w:t>
      </w:r>
      <w:proofErr w:type="spellStart"/>
      <w:r w:rsidRPr="0040441F">
        <w:rPr>
          <w:rFonts w:ascii="Helvetica" w:eastAsia="Times New Roman" w:hAnsi="Helvetica" w:cs="Helvetica"/>
          <w:color w:val="555555"/>
          <w:sz w:val="21"/>
          <w:szCs w:val="21"/>
        </w:rPr>
        <w:t>Bruyère</w:t>
      </w:r>
      <w:proofErr w:type="spellEnd"/>
      <w:r w:rsidRPr="0040441F">
        <w:rPr>
          <w:rFonts w:ascii="Helvetica" w:eastAsia="Times New Roman" w:hAnsi="Helvetica" w:cs="Helvetica"/>
          <w:color w:val="555555"/>
          <w:sz w:val="21"/>
          <w:szCs w:val="21"/>
        </w:rPr>
        <w:t xml:space="preserve">, 2000; Burton, 1982; </w:t>
      </w:r>
      <w:proofErr w:type="spellStart"/>
      <w:r w:rsidRPr="0040441F">
        <w:rPr>
          <w:rFonts w:ascii="Helvetica" w:eastAsia="Times New Roman" w:hAnsi="Helvetica" w:cs="Helvetica"/>
          <w:color w:val="555555"/>
          <w:sz w:val="21"/>
          <w:szCs w:val="21"/>
        </w:rPr>
        <w:t>Chubon</w:t>
      </w:r>
      <w:proofErr w:type="spellEnd"/>
      <w:r w:rsidRPr="0040441F">
        <w:rPr>
          <w:rFonts w:ascii="Helvetica" w:eastAsia="Times New Roman" w:hAnsi="Helvetica" w:cs="Helvetica"/>
          <w:color w:val="555555"/>
          <w:sz w:val="21"/>
          <w:szCs w:val="21"/>
        </w:rPr>
        <w:t xml:space="preserve">, 1992; </w:t>
      </w:r>
      <w:proofErr w:type="spellStart"/>
      <w:r w:rsidRPr="0040441F">
        <w:rPr>
          <w:rFonts w:ascii="Helvetica" w:eastAsia="Times New Roman" w:hAnsi="Helvetica" w:cs="Helvetica"/>
          <w:color w:val="555555"/>
          <w:sz w:val="21"/>
          <w:szCs w:val="21"/>
        </w:rPr>
        <w:t>Kilbury</w:t>
      </w:r>
      <w:proofErr w:type="spellEnd"/>
      <w:r w:rsidRPr="0040441F">
        <w:rPr>
          <w:rFonts w:ascii="Helvetica" w:eastAsia="Times New Roman" w:hAnsi="Helvetica" w:cs="Helvetica"/>
          <w:color w:val="555555"/>
          <w:sz w:val="21"/>
          <w:szCs w:val="21"/>
        </w:rPr>
        <w:t xml:space="preserve">, </w:t>
      </w:r>
      <w:proofErr w:type="spellStart"/>
      <w:r w:rsidRPr="0040441F">
        <w:rPr>
          <w:rFonts w:ascii="Helvetica" w:eastAsia="Times New Roman" w:hAnsi="Helvetica" w:cs="Helvetica"/>
          <w:color w:val="555555"/>
          <w:sz w:val="21"/>
          <w:szCs w:val="21"/>
        </w:rPr>
        <w:t>Benshoff</w:t>
      </w:r>
      <w:proofErr w:type="spellEnd"/>
      <w:r w:rsidRPr="0040441F">
        <w:rPr>
          <w:rFonts w:ascii="Helvetica" w:eastAsia="Times New Roman" w:hAnsi="Helvetica" w:cs="Helvetica"/>
          <w:color w:val="555555"/>
          <w:sz w:val="21"/>
          <w:szCs w:val="21"/>
        </w:rPr>
        <w:t xml:space="preserve">, &amp; Rubin, 1992). Rehabilitation counseling is thus based on a </w:t>
      </w:r>
      <w:proofErr w:type="spellStart"/>
      <w:r w:rsidRPr="0040441F">
        <w:rPr>
          <w:rFonts w:ascii="Helvetica" w:eastAsia="Times New Roman" w:hAnsi="Helvetica" w:cs="Helvetica"/>
          <w:color w:val="555555"/>
          <w:sz w:val="21"/>
          <w:szCs w:val="21"/>
        </w:rPr>
        <w:t>personenvironment</w:t>
      </w:r>
      <w:proofErr w:type="spellEnd"/>
      <w:r w:rsidRPr="0040441F">
        <w:rPr>
          <w:rFonts w:ascii="Helvetica" w:eastAsia="Times New Roman" w:hAnsi="Helvetica" w:cs="Helvetica"/>
          <w:color w:val="555555"/>
          <w:sz w:val="21"/>
          <w:szCs w:val="21"/>
        </w:rPr>
        <w:t xml:space="preserve"> fit (Maki &amp; </w:t>
      </w:r>
      <w:proofErr w:type="spellStart"/>
      <w:r w:rsidRPr="0040441F">
        <w:rPr>
          <w:rFonts w:ascii="Helvetica" w:eastAsia="Times New Roman" w:hAnsi="Helvetica" w:cs="Helvetica"/>
          <w:color w:val="555555"/>
          <w:sz w:val="21"/>
          <w:szCs w:val="21"/>
        </w:rPr>
        <w:t>Tarvydas</w:t>
      </w:r>
      <w:proofErr w:type="spellEnd"/>
      <w:r w:rsidRPr="0040441F">
        <w:rPr>
          <w:rFonts w:ascii="Helvetica" w:eastAsia="Times New Roman" w:hAnsi="Helvetica" w:cs="Helvetica"/>
          <w:color w:val="555555"/>
          <w:sz w:val="21"/>
          <w:szCs w:val="21"/>
        </w:rPr>
        <w:t xml:space="preserve">, 2012; Sales, 2007), and a successful rehabilitation outcome is not the result of working with the individual alone, but rather, of understanding the reciprocal interaction between the individual and his/her environment (Hartley &amp; </w:t>
      </w:r>
      <w:proofErr w:type="spellStart"/>
      <w:r w:rsidRPr="0040441F">
        <w:rPr>
          <w:rFonts w:ascii="Helvetica" w:eastAsia="Times New Roman" w:hAnsi="Helvetica" w:cs="Helvetica"/>
          <w:color w:val="555555"/>
          <w:sz w:val="21"/>
          <w:szCs w:val="21"/>
        </w:rPr>
        <w:t>Tarvydas</w:t>
      </w:r>
      <w:proofErr w:type="spellEnd"/>
      <w:r w:rsidRPr="0040441F">
        <w:rPr>
          <w:rFonts w:ascii="Helvetica" w:eastAsia="Times New Roman" w:hAnsi="Helvetica" w:cs="Helvetica"/>
          <w:color w:val="555555"/>
          <w:sz w:val="21"/>
          <w:szCs w:val="21"/>
        </w:rPr>
        <w:t xml:space="preserve">, 2013; </w:t>
      </w:r>
      <w:proofErr w:type="spellStart"/>
      <w:r w:rsidRPr="0040441F">
        <w:rPr>
          <w:rFonts w:ascii="Helvetica" w:eastAsia="Times New Roman" w:hAnsi="Helvetica" w:cs="Helvetica"/>
          <w:color w:val="555555"/>
          <w:sz w:val="21"/>
          <w:szCs w:val="21"/>
        </w:rPr>
        <w:t>Hershenson</w:t>
      </w:r>
      <w:proofErr w:type="spellEnd"/>
      <w:r w:rsidRPr="0040441F">
        <w:rPr>
          <w:rFonts w:ascii="Helvetica" w:eastAsia="Times New Roman" w:hAnsi="Helvetica" w:cs="Helvetica"/>
          <w:color w:val="555555"/>
          <w:sz w:val="21"/>
          <w:szCs w:val="21"/>
        </w:rPr>
        <w:t xml:space="preserve">, 1998; </w:t>
      </w:r>
      <w:proofErr w:type="spellStart"/>
      <w:r w:rsidRPr="0040441F">
        <w:rPr>
          <w:rFonts w:ascii="Helvetica" w:eastAsia="Times New Roman" w:hAnsi="Helvetica" w:cs="Helvetica"/>
          <w:color w:val="555555"/>
          <w:sz w:val="21"/>
          <w:szCs w:val="21"/>
        </w:rPr>
        <w:t>Kosciulek</w:t>
      </w:r>
      <w:proofErr w:type="spellEnd"/>
      <w:r w:rsidRPr="0040441F">
        <w:rPr>
          <w:rFonts w:ascii="Helvetica" w:eastAsia="Times New Roman" w:hAnsi="Helvetica" w:cs="Helvetica"/>
          <w:color w:val="555555"/>
          <w:sz w:val="21"/>
          <w:szCs w:val="21"/>
        </w:rPr>
        <w:t xml:space="preserve">, 1993). As information technology becomes an increasingly integral part of rehabilitation counseling practice (Barros-Bailey, 2012; Byrne &amp; Hartley, 2010; Hartley, </w:t>
      </w:r>
      <w:proofErr w:type="spellStart"/>
      <w:r w:rsidRPr="0040441F">
        <w:rPr>
          <w:rFonts w:ascii="Helvetica" w:eastAsia="Times New Roman" w:hAnsi="Helvetica" w:cs="Helvetica"/>
          <w:color w:val="555555"/>
          <w:sz w:val="21"/>
          <w:szCs w:val="21"/>
        </w:rPr>
        <w:t>Urish</w:t>
      </w:r>
      <w:proofErr w:type="spellEnd"/>
      <w:r w:rsidRPr="0040441F">
        <w:rPr>
          <w:rFonts w:ascii="Helvetica" w:eastAsia="Times New Roman" w:hAnsi="Helvetica" w:cs="Helvetica"/>
          <w:color w:val="555555"/>
          <w:sz w:val="21"/>
          <w:szCs w:val="21"/>
        </w:rPr>
        <w:t xml:space="preserve">, &amp; Johnston, 2006), the emergence of popular social media tools, such as Twitter, Facebook, YouTube, blogs, and wikis may be an additional tool to confront social inequities that have historically impeded the well-being of individuals with disabilities (Alston, Harley, &amp; Middleton, 2008; Middleton, Robinson, &amp; </w:t>
      </w:r>
      <w:proofErr w:type="spellStart"/>
      <w:r w:rsidRPr="0040441F">
        <w:rPr>
          <w:rFonts w:ascii="Helvetica" w:eastAsia="Times New Roman" w:hAnsi="Helvetica" w:cs="Helvetica"/>
          <w:color w:val="555555"/>
          <w:sz w:val="21"/>
          <w:szCs w:val="21"/>
        </w:rPr>
        <w:t>Mu'min</w:t>
      </w:r>
      <w:proofErr w:type="spellEnd"/>
      <w:r w:rsidRPr="0040441F">
        <w:rPr>
          <w:rFonts w:ascii="Helvetica" w:eastAsia="Times New Roman" w:hAnsi="Helvetica" w:cs="Helvetica"/>
          <w:color w:val="555555"/>
          <w:sz w:val="21"/>
          <w:szCs w:val="21"/>
        </w:rPr>
        <w:t>, 2010; Middleton, Rollins, &amp; Harley, 1999). However, further discussion is necessary if rehabilitation counselors are to use social media as a method of 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Attitudes toward disability have improved; however, people with disabilities still experience unfair treatment compared to people without disabilities. Specifically, discrimination towards individuals with disabilities has remained a problem despite the passage of legal protections, such as Section 504 of the Rehabilitation Act Amendments of 1973 and the Americans with Disabilities Act (ADA) of 1990 (Charlton, 1998). For instance, individuals with psychiatric disabilities have unemployment rates as high as 80-90% (Crowther, Marshall, Bond, &amp; Huxley, 2001; Goldberg et al., 2001), and a </w:t>
      </w:r>
      <w:r w:rsidRPr="0040441F">
        <w:rPr>
          <w:rFonts w:ascii="Helvetica" w:eastAsia="Times New Roman" w:hAnsi="Helvetica" w:cs="Helvetica"/>
          <w:color w:val="555555"/>
          <w:sz w:val="21"/>
          <w:szCs w:val="21"/>
        </w:rPr>
        <w:lastRenderedPageBreak/>
        <w:t>major reason is the stigma of mental illness: terms such as "unstable" and "volatile" have perpetuated the myth that employing workers with psychiatric disabilities is dangerous (</w:t>
      </w:r>
      <w:proofErr w:type="spellStart"/>
      <w:r w:rsidRPr="0040441F">
        <w:rPr>
          <w:rFonts w:ascii="Helvetica" w:eastAsia="Times New Roman" w:hAnsi="Helvetica" w:cs="Helvetica"/>
          <w:color w:val="555555"/>
          <w:sz w:val="21"/>
          <w:szCs w:val="21"/>
        </w:rPr>
        <w:t>Diksa</w:t>
      </w:r>
      <w:proofErr w:type="spellEnd"/>
      <w:r w:rsidRPr="0040441F">
        <w:rPr>
          <w:rFonts w:ascii="Helvetica" w:eastAsia="Times New Roman" w:hAnsi="Helvetica" w:cs="Helvetica"/>
          <w:color w:val="555555"/>
          <w:sz w:val="21"/>
          <w:szCs w:val="21"/>
        </w:rPr>
        <w:t xml:space="preserve"> &amp; Rogers, 1996; Weber, Davis, &amp; Sebastian, 2002). Research indicates that 50% of employers are reluctant to hire someone currently undergoing psychiatric treatment, and 70% are reluctant to hire someone currently taking antipsychotic medications (Goldberg, Killeen, &amp; </w:t>
      </w:r>
      <w:proofErr w:type="spellStart"/>
      <w:r w:rsidRPr="0040441F">
        <w:rPr>
          <w:rFonts w:ascii="Helvetica" w:eastAsia="Times New Roman" w:hAnsi="Helvetica" w:cs="Helvetica"/>
          <w:color w:val="555555"/>
          <w:sz w:val="21"/>
          <w:szCs w:val="21"/>
        </w:rPr>
        <w:t>O'Day</w:t>
      </w:r>
      <w:proofErr w:type="spellEnd"/>
      <w:r w:rsidRPr="0040441F">
        <w:rPr>
          <w:rFonts w:ascii="Helvetica" w:eastAsia="Times New Roman" w:hAnsi="Helvetica" w:cs="Helvetica"/>
          <w:color w:val="555555"/>
          <w:sz w:val="21"/>
          <w:szCs w:val="21"/>
        </w:rPr>
        <w:t xml:space="preserve">, 2005; </w:t>
      </w:r>
      <w:proofErr w:type="spellStart"/>
      <w:r w:rsidRPr="0040441F">
        <w:rPr>
          <w:rFonts w:ascii="Helvetica" w:eastAsia="Times New Roman" w:hAnsi="Helvetica" w:cs="Helvetica"/>
          <w:color w:val="555555"/>
          <w:sz w:val="21"/>
          <w:szCs w:val="21"/>
        </w:rPr>
        <w:t>Scheid</w:t>
      </w:r>
      <w:proofErr w:type="spellEnd"/>
      <w:r w:rsidRPr="0040441F">
        <w:rPr>
          <w:rFonts w:ascii="Helvetica" w:eastAsia="Times New Roman" w:hAnsi="Helvetica" w:cs="Helvetica"/>
          <w:color w:val="555555"/>
          <w:sz w:val="21"/>
          <w:szCs w:val="21"/>
        </w:rPr>
        <w:t xml:space="preserve">, 1999). Similarly, individuals with physical disabilities experience unemployment rates of 6070%, (Stapleton, </w:t>
      </w:r>
      <w:proofErr w:type="spellStart"/>
      <w:r w:rsidRPr="0040441F">
        <w:rPr>
          <w:rFonts w:ascii="Helvetica" w:eastAsia="Times New Roman" w:hAnsi="Helvetica" w:cs="Helvetica"/>
          <w:color w:val="555555"/>
          <w:sz w:val="21"/>
          <w:szCs w:val="21"/>
        </w:rPr>
        <w:t>O'Day</w:t>
      </w:r>
      <w:proofErr w:type="spellEnd"/>
      <w:r w:rsidRPr="0040441F">
        <w:rPr>
          <w:rFonts w:ascii="Helvetica" w:eastAsia="Times New Roman" w:hAnsi="Helvetica" w:cs="Helvetica"/>
          <w:color w:val="555555"/>
          <w:sz w:val="21"/>
          <w:szCs w:val="21"/>
        </w:rPr>
        <w:t xml:space="preserve">, &amp; Livermore, 2005), and there are deeply rooted beliefs that hiring an individual with a physical disability will require expensive accommodations to make the workplace accessible (Wilson-Kovacs, Ryan, Haslam, &amp; </w:t>
      </w:r>
      <w:proofErr w:type="spellStart"/>
      <w:r w:rsidRPr="0040441F">
        <w:rPr>
          <w:rFonts w:ascii="Helvetica" w:eastAsia="Times New Roman" w:hAnsi="Helvetica" w:cs="Helvetica"/>
          <w:color w:val="555555"/>
          <w:sz w:val="21"/>
          <w:szCs w:val="21"/>
        </w:rPr>
        <w:t>Rabinovich</w:t>
      </w:r>
      <w:proofErr w:type="spellEnd"/>
      <w:r w:rsidRPr="0040441F">
        <w:rPr>
          <w:rFonts w:ascii="Helvetica" w:eastAsia="Times New Roman" w:hAnsi="Helvetica" w:cs="Helvetica"/>
          <w:color w:val="555555"/>
          <w:sz w:val="21"/>
          <w:szCs w:val="21"/>
        </w:rPr>
        <w:t>, 2008). As a result of discrimination, individuals with disabilities must negotiate a complex person-environment terrain.</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As frontline service providers, rehabilitation counselors can play a vital role in promoting advocacy and empowerment as a rehabilitation outcome (Bolton &amp; Brookings, 1998; Frain, </w:t>
      </w:r>
      <w:proofErr w:type="spellStart"/>
      <w:r w:rsidRPr="0040441F">
        <w:rPr>
          <w:rFonts w:ascii="Helvetica" w:eastAsia="Times New Roman" w:hAnsi="Helvetica" w:cs="Helvetica"/>
          <w:color w:val="555555"/>
          <w:sz w:val="21"/>
          <w:szCs w:val="21"/>
        </w:rPr>
        <w:t>Tschopp</w:t>
      </w:r>
      <w:proofErr w:type="spellEnd"/>
      <w:r w:rsidRPr="0040441F">
        <w:rPr>
          <w:rFonts w:ascii="Helvetica" w:eastAsia="Times New Roman" w:hAnsi="Helvetica" w:cs="Helvetica"/>
          <w:color w:val="555555"/>
          <w:sz w:val="21"/>
          <w:szCs w:val="21"/>
        </w:rPr>
        <w:t xml:space="preserve">, &amp; Bishop, 2009; </w:t>
      </w:r>
      <w:proofErr w:type="spellStart"/>
      <w:r w:rsidRPr="0040441F">
        <w:rPr>
          <w:rFonts w:ascii="Helvetica" w:eastAsia="Times New Roman" w:hAnsi="Helvetica" w:cs="Helvetica"/>
          <w:color w:val="555555"/>
          <w:sz w:val="21"/>
          <w:szCs w:val="21"/>
        </w:rPr>
        <w:t>Kosciulek</w:t>
      </w:r>
      <w:proofErr w:type="spellEnd"/>
      <w:r w:rsidRPr="0040441F">
        <w:rPr>
          <w:rFonts w:ascii="Helvetica" w:eastAsia="Times New Roman" w:hAnsi="Helvetica" w:cs="Helvetica"/>
          <w:color w:val="555555"/>
          <w:sz w:val="21"/>
          <w:szCs w:val="21"/>
        </w:rPr>
        <w:t>, 2005). Specifically, advocacy is defined as a "behavioral and action orientated, and is an activity that often involves actions to correct some social injustice" (Marini, 2012, p. 486). In addition to fostering their role as advocates for social justice, it is equally important for rehabilitation counselors to place an "emphasis on their responsibility to teach and empower clients to advocate for themselves" (</w:t>
      </w:r>
      <w:proofErr w:type="spellStart"/>
      <w:r w:rsidRPr="0040441F">
        <w:rPr>
          <w:rFonts w:ascii="Helvetica" w:eastAsia="Times New Roman" w:hAnsi="Helvetica" w:cs="Helvetica"/>
          <w:color w:val="555555"/>
          <w:sz w:val="21"/>
          <w:szCs w:val="21"/>
        </w:rPr>
        <w:t>Vash</w:t>
      </w:r>
      <w:proofErr w:type="spellEnd"/>
      <w:r w:rsidRPr="0040441F">
        <w:rPr>
          <w:rFonts w:ascii="Helvetica" w:eastAsia="Times New Roman" w:hAnsi="Helvetica" w:cs="Helvetica"/>
          <w:color w:val="555555"/>
          <w:sz w:val="21"/>
          <w:szCs w:val="21"/>
        </w:rPr>
        <w:t xml:space="preserve">, 1991, p. 14). Importantly, client </w:t>
      </w:r>
      <w:proofErr w:type="spellStart"/>
      <w:r w:rsidRPr="0040441F">
        <w:rPr>
          <w:rFonts w:ascii="Helvetica" w:eastAsia="Times New Roman" w:hAnsi="Helvetica" w:cs="Helvetica"/>
          <w:color w:val="555555"/>
          <w:sz w:val="21"/>
          <w:szCs w:val="21"/>
        </w:rPr>
        <w:t>selfadvocacy</w:t>
      </w:r>
      <w:proofErr w:type="spellEnd"/>
      <w:r w:rsidRPr="0040441F">
        <w:rPr>
          <w:rFonts w:ascii="Helvetica" w:eastAsia="Times New Roman" w:hAnsi="Helvetica" w:cs="Helvetica"/>
          <w:color w:val="555555"/>
          <w:sz w:val="21"/>
          <w:szCs w:val="21"/>
        </w:rPr>
        <w:t xml:space="preserve"> is the process by which clients "learn to advocate on their own behalf rather than letting others advocate for them" (Chan, Brophy, &amp; Fisher, 1981, p. 196). History tells us that social movements have often emerged when individuals with disabilities exerted civil rights within the context of their own lives (Hartley, 2012; McCarthy, 2003). For instance, Ed Roberts, a founder of the disability rights movement, exerted his right to participate in society and attend college during the 1970s when very few people with significant physical disabilities lived independently in the community, let alone attended college (Shapiro, 1993). Roberts' self-advocacy efforts were a catalyst for the disability rights movement (DeJong, 1979). Today, social media is a powerful way to mobilize supporters, foster dialogue with a wide audience, and draw attention to social justice issues that may otherwise go unnoticed (</w:t>
      </w:r>
      <w:proofErr w:type="spellStart"/>
      <w:r w:rsidRPr="0040441F">
        <w:rPr>
          <w:rFonts w:ascii="Helvetica" w:eastAsia="Times New Roman" w:hAnsi="Helvetica" w:cs="Helvetica"/>
          <w:color w:val="555555"/>
          <w:sz w:val="21"/>
          <w:szCs w:val="21"/>
        </w:rPr>
        <w:t>Guo</w:t>
      </w:r>
      <w:proofErr w:type="spellEnd"/>
      <w:r w:rsidRPr="0040441F">
        <w:rPr>
          <w:rFonts w:ascii="Helvetica" w:eastAsia="Times New Roman" w:hAnsi="Helvetica" w:cs="Helvetica"/>
          <w:color w:val="555555"/>
          <w:sz w:val="21"/>
          <w:szCs w:val="21"/>
        </w:rPr>
        <w:t xml:space="preserve"> &amp; Saxton, 2014).</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As digital information becomes the preferred mode of communication, social media applications may serve as an emerging context to confront social justice inequities that are impeding clients' well-being (Alston et al., 2008; Middleton et al., 1999; Middleton et al., 2010). As a potential avenue to define and better support the self-advocacy efforts of individuals with disabilities, the purpose of this article is to present the concept of social media advocacy as a way for rehabilitation counselors to assist clients who have experienced marginalization in claiming a sense of power and control over their environments. Focused on the ethics and practice of social media in rehabilitation counseling, </w:t>
      </w:r>
      <w:r w:rsidRPr="0040441F">
        <w:rPr>
          <w:rFonts w:ascii="Helvetica" w:eastAsia="Times New Roman" w:hAnsi="Helvetica" w:cs="Helvetica"/>
          <w:color w:val="555555"/>
          <w:sz w:val="21"/>
          <w:szCs w:val="21"/>
        </w:rPr>
        <w:lastRenderedPageBreak/>
        <w:t>the intent is to provide guidance on how to use social media as a means to assist clients to self-advocate.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Social Media</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Over the last decade, the development of Web 2.0 applications (also known as "social media") has led to social networking, defined as the "phenomenon through which Internet users build virtual communities based on common interests, activities, and established friendships" (Chapin &amp; Byrne, 2013, p. 11). Today, approximately 78.2% of people in the United States population use the Internet, including social media technologies, such as Twitter, Facebook, </w:t>
      </w:r>
      <w:proofErr w:type="spellStart"/>
      <w:r w:rsidRPr="0040441F">
        <w:rPr>
          <w:rFonts w:ascii="Helvetica" w:eastAsia="Times New Roman" w:hAnsi="Helvetica" w:cs="Helvetica"/>
          <w:color w:val="555555"/>
          <w:sz w:val="21"/>
          <w:szCs w:val="21"/>
        </w:rPr>
        <w:t>Linkedln</w:t>
      </w:r>
      <w:proofErr w:type="spellEnd"/>
      <w:r w:rsidRPr="0040441F">
        <w:rPr>
          <w:rFonts w:ascii="Helvetica" w:eastAsia="Times New Roman" w:hAnsi="Helvetica" w:cs="Helvetica"/>
          <w:color w:val="555555"/>
          <w:sz w:val="21"/>
          <w:szCs w:val="21"/>
        </w:rPr>
        <w:t xml:space="preserve">, YouTube, blogs, wikis, and mobile applications (as cited in Chapin &amp; </w:t>
      </w:r>
      <w:proofErr w:type="spellStart"/>
      <w:r w:rsidRPr="0040441F">
        <w:rPr>
          <w:rFonts w:ascii="Helvetica" w:eastAsia="Times New Roman" w:hAnsi="Helvetica" w:cs="Helvetica"/>
          <w:color w:val="555555"/>
          <w:sz w:val="21"/>
          <w:szCs w:val="21"/>
        </w:rPr>
        <w:t>Bryne</w:t>
      </w:r>
      <w:proofErr w:type="spellEnd"/>
      <w:r w:rsidRPr="0040441F">
        <w:rPr>
          <w:rFonts w:ascii="Helvetica" w:eastAsia="Times New Roman" w:hAnsi="Helvetica" w:cs="Helvetica"/>
          <w:color w:val="555555"/>
          <w:sz w:val="21"/>
          <w:szCs w:val="21"/>
        </w:rPr>
        <w:t>, 2013). As a population, individuals with disabilities are less likely to have access to computers; however, research indicates that individuals with disabilities who have access spend twice as much time online as their nondisabled counterparts (Gorski &amp; Clark, 2002; Taylor, 2000). Overall, the Internet is having a significant impact on the lives of individuals with disabilities. According to a national survey of Internet users, Taylor (2000) found that 48% of adults with disabilities who had access reported that the Internet significantly improved their quality of life compared to 27% of non-disabled adults. Furthermore, compared to their non-disabled counterparts, adult Internet users with disabilities were significantly more likely to report that the Internet significantly improved their ability to connect to the world around them and reach out to people with similar interests and experiences (Taylor, 2000). Thus, social media has opened the door to a myriad of social and education resources, including opportunities for 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Consistent with the disability rights mantra - "nothing about us, without us" (Charlton, 1998, p. 3), the development of social media has seen an explosion in technologies that are available for anyone to publish and express one's opinions, thoughts, and feelings to the public (Boyd &amp; Ellison, 2008; Chapin &amp; </w:t>
      </w:r>
      <w:proofErr w:type="spellStart"/>
      <w:r w:rsidRPr="0040441F">
        <w:rPr>
          <w:rFonts w:ascii="Helvetica" w:eastAsia="Times New Roman" w:hAnsi="Helvetica" w:cs="Helvetica"/>
          <w:color w:val="555555"/>
          <w:sz w:val="21"/>
          <w:szCs w:val="21"/>
        </w:rPr>
        <w:t>Bryne</w:t>
      </w:r>
      <w:proofErr w:type="spellEnd"/>
      <w:r w:rsidRPr="0040441F">
        <w:rPr>
          <w:rFonts w:ascii="Helvetica" w:eastAsia="Times New Roman" w:hAnsi="Helvetica" w:cs="Helvetica"/>
          <w:color w:val="555555"/>
          <w:sz w:val="21"/>
          <w:szCs w:val="21"/>
        </w:rPr>
        <w:t xml:space="preserve">, 2013). In many ways, social media has become the place to "organize disability-rights actions, let others know about disability related news, promote events, or just find like-minded disability rights advocates" (Haller, 2010, p. 5). Increased production and access to information and knowledge technologies in their personal lives, at work, and across global communities contributes to a surplus of individuals using digital technologies and social media as platforms for media authorship (Brandt, 2009). Encompassing various forms of media, such as text, images, audio, and video, the significance of social media is that it "allows for the creation and exchange of User-Generated Content" (Kaplan &amp; </w:t>
      </w:r>
      <w:proofErr w:type="spellStart"/>
      <w:r w:rsidRPr="0040441F">
        <w:rPr>
          <w:rFonts w:ascii="Helvetica" w:eastAsia="Times New Roman" w:hAnsi="Helvetica" w:cs="Helvetica"/>
          <w:color w:val="555555"/>
          <w:sz w:val="21"/>
          <w:szCs w:val="21"/>
        </w:rPr>
        <w:t>Haenlein</w:t>
      </w:r>
      <w:proofErr w:type="spellEnd"/>
      <w:r w:rsidRPr="0040441F">
        <w:rPr>
          <w:rFonts w:ascii="Helvetica" w:eastAsia="Times New Roman" w:hAnsi="Helvetica" w:cs="Helvetica"/>
          <w:color w:val="555555"/>
          <w:sz w:val="21"/>
          <w:szCs w:val="21"/>
        </w:rPr>
        <w:t>, 2010, p. 61).</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Despite the increasing potential for greater social media use, within rehabilitation counseling, there is limited information on how rehabilitation counselors can apply social media tools, such as Twitter, Facebook, </w:t>
      </w:r>
      <w:proofErr w:type="spellStart"/>
      <w:r w:rsidRPr="0040441F">
        <w:rPr>
          <w:rFonts w:ascii="Helvetica" w:eastAsia="Times New Roman" w:hAnsi="Helvetica" w:cs="Helvetica"/>
          <w:color w:val="555555"/>
          <w:sz w:val="21"/>
          <w:szCs w:val="21"/>
        </w:rPr>
        <w:t>Linkedln</w:t>
      </w:r>
      <w:proofErr w:type="spellEnd"/>
      <w:r w:rsidRPr="0040441F">
        <w:rPr>
          <w:rFonts w:ascii="Helvetica" w:eastAsia="Times New Roman" w:hAnsi="Helvetica" w:cs="Helvetica"/>
          <w:color w:val="555555"/>
          <w:sz w:val="21"/>
          <w:szCs w:val="21"/>
        </w:rPr>
        <w:t xml:space="preserve">, YouTube, blogs, and wikis as a means to assist clients to self-advocate. As </w:t>
      </w:r>
      <w:r w:rsidRPr="0040441F">
        <w:rPr>
          <w:rFonts w:ascii="Helvetica" w:eastAsia="Times New Roman" w:hAnsi="Helvetica" w:cs="Helvetica"/>
          <w:color w:val="555555"/>
          <w:sz w:val="21"/>
          <w:szCs w:val="21"/>
        </w:rPr>
        <w:lastRenderedPageBreak/>
        <w:t>social media continues to evolve, rehabilitation counselors will need to stay abreast of trends in social media to ensure the competent and ethical practice concerning the use of social media applications, both in their own professional and private lives, as well as the lives of their clients. In what follows, we discuss the practice of social media in rehabilitation counseling as a method of 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Practice of Social Media 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Concern for advocacy is not new. According to the CRCC Code of Professional Ethics for Rehabilitation Counselors (hereafter referred to as the Code), "rehabilitation counselors provide clients with appropriate information to facilitate their self-advocacy actions whenever possible" (CRCC, 2010, C. 1 .a., p. 10). Rehabilitation counselors have a long history of listening to and partnering with persons with disabilities, and the notion of understanding clients within their social milieu is an explicit component of the multicultural counseling competencies (Alston et al., 2008; Middleton et al., 1999; Middleton et al., 2010). With generations of rehabilitation counselors and clients growing up as 'digital natives,' social media applications offer an avenue to expand advocacy efforts by "reaching new networks of community actors and by mobilizing those networks to take action" (</w:t>
      </w:r>
      <w:proofErr w:type="spellStart"/>
      <w:r w:rsidRPr="0040441F">
        <w:rPr>
          <w:rFonts w:ascii="Helvetica" w:eastAsia="Times New Roman" w:hAnsi="Helvetica" w:cs="Helvetica"/>
          <w:color w:val="555555"/>
          <w:sz w:val="21"/>
          <w:szCs w:val="21"/>
        </w:rPr>
        <w:t>Guo</w:t>
      </w:r>
      <w:proofErr w:type="spellEnd"/>
      <w:r w:rsidRPr="0040441F">
        <w:rPr>
          <w:rFonts w:ascii="Helvetica" w:eastAsia="Times New Roman" w:hAnsi="Helvetica" w:cs="Helvetica"/>
          <w:color w:val="555555"/>
          <w:sz w:val="21"/>
          <w:szCs w:val="21"/>
        </w:rPr>
        <w:t xml:space="preserve"> &amp; Saxton, 2014, p. 58). However, assisting clients to use social media to self-advocate is a complex process; therefore, there is a need to situate social media as an intervention within existing client-level models that promote self-advocacy.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Advocates are not </w:t>
      </w:r>
      <w:proofErr w:type="spellStart"/>
      <w:r w:rsidRPr="0040441F">
        <w:rPr>
          <w:rFonts w:ascii="Helvetica" w:eastAsia="Times New Roman" w:hAnsi="Helvetica" w:cs="Helvetica"/>
          <w:color w:val="555555"/>
          <w:sz w:val="21"/>
          <w:szCs w:val="21"/>
        </w:rPr>
        <w:t>bom</w:t>
      </w:r>
      <w:proofErr w:type="spellEnd"/>
      <w:r w:rsidRPr="0040441F">
        <w:rPr>
          <w:rFonts w:ascii="Helvetica" w:eastAsia="Times New Roman" w:hAnsi="Helvetica" w:cs="Helvetica"/>
          <w:color w:val="555555"/>
          <w:sz w:val="21"/>
          <w:szCs w:val="21"/>
        </w:rPr>
        <w:t>; rather, advocacy is a skill that is learned (</w:t>
      </w:r>
      <w:proofErr w:type="spellStart"/>
      <w:r w:rsidRPr="0040441F">
        <w:rPr>
          <w:rFonts w:ascii="Helvetica" w:eastAsia="Times New Roman" w:hAnsi="Helvetica" w:cs="Helvetica"/>
          <w:color w:val="555555"/>
          <w:sz w:val="21"/>
          <w:szCs w:val="21"/>
        </w:rPr>
        <w:t>Roysircar</w:t>
      </w:r>
      <w:proofErr w:type="spellEnd"/>
      <w:r w:rsidRPr="0040441F">
        <w:rPr>
          <w:rFonts w:ascii="Helvetica" w:eastAsia="Times New Roman" w:hAnsi="Helvetica" w:cs="Helvetica"/>
          <w:color w:val="555555"/>
          <w:sz w:val="21"/>
          <w:szCs w:val="21"/>
        </w:rPr>
        <w:t xml:space="preserve">, 2009). In particular, the well-established Advocate Model may provide a structured approach to integrate social media in rehabilitation counseling as a method of advocacy (Brophy, Chan, &amp; Mar, 1974; Chan et al., 1981; Liu &amp; </w:t>
      </w:r>
      <w:proofErr w:type="spellStart"/>
      <w:r w:rsidRPr="0040441F">
        <w:rPr>
          <w:rFonts w:ascii="Helvetica" w:eastAsia="Times New Roman" w:hAnsi="Helvetica" w:cs="Helvetica"/>
          <w:color w:val="555555"/>
          <w:sz w:val="21"/>
          <w:szCs w:val="21"/>
        </w:rPr>
        <w:t>Toporek</w:t>
      </w:r>
      <w:proofErr w:type="spellEnd"/>
      <w:r w:rsidRPr="0040441F">
        <w:rPr>
          <w:rFonts w:ascii="Helvetica" w:eastAsia="Times New Roman" w:hAnsi="Helvetica" w:cs="Helvetica"/>
          <w:color w:val="555555"/>
          <w:sz w:val="21"/>
          <w:szCs w:val="21"/>
        </w:rPr>
        <w:t>, 2012). Intended to assist a client to "exert maximum control over his/her own life, while developing a positive self-concept and confidence that this control will be continuous and replicable" (Brophy, et al., 1974, p. 41), the Advocate Model is a three-phase process: (a) education, (b) facilitation, and (c) implementation to move a client from awareness to action. Although it was developed well before the advent of Web 2.0 and social media, the three-phase structure provides a useful approach to discuss the integration of social media in rehabilitation counseling as a method to promote client self-advocacy.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Education Phase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The first step in the education phase is awareness of pain (Brophy et al., 1974; Chan et al., 1981). Rather than pushing for action, in the education phase, effective advocacy requires an understanding of the potential impact of discrimination on mental health, specifically addressing why </w:t>
      </w:r>
      <w:r w:rsidRPr="0040441F">
        <w:rPr>
          <w:rFonts w:ascii="Helvetica" w:eastAsia="Times New Roman" w:hAnsi="Helvetica" w:cs="Helvetica"/>
          <w:color w:val="555555"/>
          <w:sz w:val="21"/>
          <w:szCs w:val="21"/>
        </w:rPr>
        <w:lastRenderedPageBreak/>
        <w:t>internalized marginalization can be a source of pain for so many people (Comstock et al., 2008). Unfortunately, the experience of discrimination may be associated with feelings of "alienation, learned helplessness, and internalized hatred" (</w:t>
      </w:r>
      <w:proofErr w:type="spellStart"/>
      <w:r w:rsidRPr="0040441F">
        <w:rPr>
          <w:rFonts w:ascii="Helvetica" w:eastAsia="Times New Roman" w:hAnsi="Helvetica" w:cs="Helvetica"/>
          <w:color w:val="555555"/>
          <w:sz w:val="21"/>
          <w:szCs w:val="21"/>
        </w:rPr>
        <w:t>Roysircar</w:t>
      </w:r>
      <w:proofErr w:type="spellEnd"/>
      <w:r w:rsidRPr="0040441F">
        <w:rPr>
          <w:rFonts w:ascii="Helvetica" w:eastAsia="Times New Roman" w:hAnsi="Helvetica" w:cs="Helvetica"/>
          <w:color w:val="555555"/>
          <w:sz w:val="21"/>
          <w:szCs w:val="21"/>
        </w:rPr>
        <w:t>, 2009, p. 288) and may contribute to physical and mental health problems due to generalized stress and stress-related illnesses (</w:t>
      </w:r>
      <w:proofErr w:type="spellStart"/>
      <w:r w:rsidRPr="0040441F">
        <w:rPr>
          <w:rFonts w:ascii="Helvetica" w:eastAsia="Times New Roman" w:hAnsi="Helvetica" w:cs="Helvetica"/>
          <w:color w:val="555555"/>
          <w:sz w:val="21"/>
          <w:szCs w:val="21"/>
        </w:rPr>
        <w:t>Dohrendwend</w:t>
      </w:r>
      <w:proofErr w:type="spellEnd"/>
      <w:r w:rsidRPr="0040441F">
        <w:rPr>
          <w:rFonts w:ascii="Helvetica" w:eastAsia="Times New Roman" w:hAnsi="Helvetica" w:cs="Helvetica"/>
          <w:color w:val="555555"/>
          <w:sz w:val="21"/>
          <w:szCs w:val="21"/>
        </w:rPr>
        <w:t xml:space="preserve">, 2000; Marini, 2012). In response, social media sites are an excellent way to connect with other people who may have experienced a similar problem and found ways to be successful. In addition to Facebook and other mainstream social networking sites, disability-specific sites have emerged, such as the website </w:t>
      </w:r>
      <w:proofErr w:type="spellStart"/>
      <w:r w:rsidRPr="0040441F">
        <w:rPr>
          <w:rFonts w:ascii="Helvetica" w:eastAsia="Times New Roman" w:hAnsi="Helvetica" w:cs="Helvetica"/>
          <w:color w:val="555555"/>
          <w:sz w:val="21"/>
          <w:szCs w:val="21"/>
        </w:rPr>
        <w:t>Disaboom</w:t>
      </w:r>
      <w:proofErr w:type="spellEnd"/>
      <w:r w:rsidRPr="0040441F">
        <w:rPr>
          <w:rFonts w:ascii="Helvetica" w:eastAsia="Times New Roman" w:hAnsi="Helvetica" w:cs="Helvetica"/>
          <w:color w:val="555555"/>
          <w:sz w:val="21"/>
          <w:szCs w:val="21"/>
        </w:rPr>
        <w:t xml:space="preserve"> created by a doctor with a spinal cord disability, to be "a place where people with disabilities and their families and friends could find connection with each other" (Haller, p. 9). Often, hearing the viewpoints of community members who have experienced similar injustices may illuminate the problem for the client in a way that holds more weight than discussion with the professional who may not have personal experience with the problem (Chan et al.). In our increasingly digital society, social media is becoming a crucial source of emotional support and understanding.</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The second step in the education phase is legal research (Brophy et al., 1974). Using the law as the highest authority, the Advocate Model teaches clients to research primary source materials, such as legislative acts and court interpretations of the law, as well as secondary source materials, such as news stories and journal articles (Chan et al.). In the past, legal research was time consuming and involved considerable effort to review primary source materials. Today, social media websites, blogs, and online forums, offer a complement to traditional forms of learning that took place in libraries and books (Buckingham, 2013; </w:t>
      </w:r>
      <w:proofErr w:type="spellStart"/>
      <w:r w:rsidRPr="0040441F">
        <w:rPr>
          <w:rFonts w:ascii="Helvetica" w:eastAsia="Times New Roman" w:hAnsi="Helvetica" w:cs="Helvetica"/>
          <w:color w:val="555555"/>
          <w:sz w:val="21"/>
          <w:szCs w:val="21"/>
        </w:rPr>
        <w:t>Carr</w:t>
      </w:r>
      <w:proofErr w:type="spellEnd"/>
      <w:r w:rsidRPr="0040441F">
        <w:rPr>
          <w:rFonts w:ascii="Helvetica" w:eastAsia="Times New Roman" w:hAnsi="Helvetica" w:cs="Helvetica"/>
          <w:color w:val="555555"/>
          <w:sz w:val="21"/>
          <w:szCs w:val="21"/>
        </w:rPr>
        <w:t xml:space="preserve"> &amp; </w:t>
      </w:r>
      <w:proofErr w:type="spellStart"/>
      <w:r w:rsidRPr="0040441F">
        <w:rPr>
          <w:rFonts w:ascii="Helvetica" w:eastAsia="Times New Roman" w:hAnsi="Helvetica" w:cs="Helvetica"/>
          <w:color w:val="555555"/>
          <w:sz w:val="21"/>
          <w:szCs w:val="21"/>
        </w:rPr>
        <w:t>Porfilio</w:t>
      </w:r>
      <w:proofErr w:type="spellEnd"/>
      <w:r w:rsidRPr="0040441F">
        <w:rPr>
          <w:rFonts w:ascii="Helvetica" w:eastAsia="Times New Roman" w:hAnsi="Helvetica" w:cs="Helvetica"/>
          <w:color w:val="555555"/>
          <w:sz w:val="21"/>
          <w:szCs w:val="21"/>
        </w:rPr>
        <w:t xml:space="preserve">, 2009). As an example, if a client is dealing with employment discrimination, he or she can use the Internet to conduct research on for his or her legal rights under the ADA (1990). Today, anyone with a computer has access to primary source materials, which previously would have required physical access to a legal library. Further, the Internet has opened the door to an extensive amount of secondary source information, including up-to-date Websites, </w:t>
      </w:r>
      <w:proofErr w:type="spellStart"/>
      <w:r w:rsidRPr="0040441F">
        <w:rPr>
          <w:rFonts w:ascii="Helvetica" w:eastAsia="Times New Roman" w:hAnsi="Helvetica" w:cs="Helvetica"/>
          <w:color w:val="555555"/>
          <w:sz w:val="21"/>
          <w:szCs w:val="21"/>
        </w:rPr>
        <w:t>listservs</w:t>
      </w:r>
      <w:proofErr w:type="spellEnd"/>
      <w:r w:rsidRPr="0040441F">
        <w:rPr>
          <w:rFonts w:ascii="Helvetica" w:eastAsia="Times New Roman" w:hAnsi="Helvetica" w:cs="Helvetica"/>
          <w:color w:val="555555"/>
          <w:sz w:val="21"/>
          <w:szCs w:val="21"/>
        </w:rPr>
        <w:t>, and blogs, to initiate an online dialogue with others regarding the interpretation of laws and legislation (See Table 1). To be sure, social media has changed the way people obtain information, including legal research.</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The third and final step in the education phase is to consider "all of the options which might constitute a solution to the problem" (Brophy et al., 1974, p. 53). In the same way that public policies can affect a client's life, so, too, clients can use social media to impact larger public policies. Specifically, </w:t>
      </w:r>
      <w:proofErr w:type="spellStart"/>
      <w:r w:rsidRPr="0040441F">
        <w:rPr>
          <w:rFonts w:ascii="Helvetica" w:eastAsia="Times New Roman" w:hAnsi="Helvetica" w:cs="Helvetica"/>
          <w:color w:val="555555"/>
          <w:sz w:val="21"/>
          <w:szCs w:val="21"/>
        </w:rPr>
        <w:t>Guo</w:t>
      </w:r>
      <w:proofErr w:type="spellEnd"/>
      <w:r w:rsidRPr="0040441F">
        <w:rPr>
          <w:rFonts w:ascii="Helvetica" w:eastAsia="Times New Roman" w:hAnsi="Helvetica" w:cs="Helvetica"/>
          <w:color w:val="555555"/>
          <w:sz w:val="21"/>
          <w:szCs w:val="21"/>
        </w:rPr>
        <w:t xml:space="preserve"> and Saxton (2014) identified a wide-range of potential social media actions, including "media advocacy, direct lobbying, grassroots lobbying, public events and direct action, judicial advocacy, coalition building, administrative lobbying, voter registration and education, and </w:t>
      </w:r>
      <w:r w:rsidRPr="0040441F">
        <w:rPr>
          <w:rFonts w:ascii="Helvetica" w:eastAsia="Times New Roman" w:hAnsi="Helvetica" w:cs="Helvetica"/>
          <w:color w:val="555555"/>
          <w:sz w:val="21"/>
          <w:szCs w:val="21"/>
        </w:rPr>
        <w:lastRenderedPageBreak/>
        <w:t xml:space="preserve">expert testimony" (pp. 59-60). Today, the simple act of posting information to an online forum may be used to inform the general public about social injustice and discrimination against people with disabilities. As an illustration, the popular online encyclopedia Wikipedia has become a platform to inform the general public about companies that violate labor laws, including the case against Firestone Tire and Rubber Company using child labor in its rubber factory (Kaplan &amp; </w:t>
      </w:r>
      <w:proofErr w:type="spellStart"/>
      <w:r w:rsidRPr="0040441F">
        <w:rPr>
          <w:rFonts w:ascii="Helvetica" w:eastAsia="Times New Roman" w:hAnsi="Helvetica" w:cs="Helvetica"/>
          <w:color w:val="555555"/>
          <w:sz w:val="21"/>
          <w:szCs w:val="21"/>
        </w:rPr>
        <w:t>Haenlein</w:t>
      </w:r>
      <w:proofErr w:type="spellEnd"/>
      <w:r w:rsidRPr="0040441F">
        <w:rPr>
          <w:rFonts w:ascii="Helvetica" w:eastAsia="Times New Roman" w:hAnsi="Helvetica" w:cs="Helvetica"/>
          <w:color w:val="555555"/>
          <w:sz w:val="21"/>
          <w:szCs w:val="21"/>
        </w:rPr>
        <w:t>, 2009). Although Firestone won, the court case brought international attention to child labor laws and established a precedent that U.S. companies can be held liable for human rights abuses abroad. The general public may not be aware of the problem, but once aware, may be able to address the problem more systemically.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Social media actions may also be used for more aggressive advocacy strategies, such as organizing public events, lobbying politicians, and facilitating peaceful protests (</w:t>
      </w:r>
      <w:proofErr w:type="spellStart"/>
      <w:r w:rsidRPr="0040441F">
        <w:rPr>
          <w:rFonts w:ascii="Helvetica" w:eastAsia="Times New Roman" w:hAnsi="Helvetica" w:cs="Helvetica"/>
          <w:color w:val="555555"/>
          <w:sz w:val="21"/>
          <w:szCs w:val="21"/>
        </w:rPr>
        <w:t>Guo</w:t>
      </w:r>
      <w:proofErr w:type="spellEnd"/>
      <w:r w:rsidRPr="0040441F">
        <w:rPr>
          <w:rFonts w:ascii="Helvetica" w:eastAsia="Times New Roman" w:hAnsi="Helvetica" w:cs="Helvetica"/>
          <w:color w:val="555555"/>
          <w:sz w:val="21"/>
          <w:szCs w:val="21"/>
        </w:rPr>
        <w:t xml:space="preserve"> &amp; Saxton, 2014; Thackeray, Beiger, Burton, &amp; </w:t>
      </w:r>
      <w:proofErr w:type="spellStart"/>
      <w:r w:rsidRPr="0040441F">
        <w:rPr>
          <w:rFonts w:ascii="Helvetica" w:eastAsia="Times New Roman" w:hAnsi="Helvetica" w:cs="Helvetica"/>
          <w:color w:val="555555"/>
          <w:sz w:val="21"/>
          <w:szCs w:val="21"/>
        </w:rPr>
        <w:t>Thackerary</w:t>
      </w:r>
      <w:proofErr w:type="spellEnd"/>
      <w:r w:rsidRPr="0040441F">
        <w:rPr>
          <w:rFonts w:ascii="Helvetica" w:eastAsia="Times New Roman" w:hAnsi="Helvetica" w:cs="Helvetica"/>
          <w:color w:val="555555"/>
          <w:sz w:val="21"/>
          <w:szCs w:val="21"/>
        </w:rPr>
        <w:t>, 2013). As an illustration, the power of online social networking was unmistakable in the recent use of Facebook to successfully protest disability benefit cuts in the United Kingdom (Haller, 2014). In addition, a recent social media campaign successfully pressured the State of Maryland to investigate the tragic death a 26-year-old man with Down syndrome who was excessively restrained by police officers (Greenspan, 2013). Ultimately, the death was ruled a homicide, and legislation was passed to train law enforcement officers about people with intellectual disabilities (Haller, 2014). Similarly, a current social media campaign is responding to the need to provide the Miranda warning in American Sign Language due to a long history of individuals who are deaf failing to respond to police officers' verbal commands and being excessively restrained (Lewis, 2014). The applications of social media are endless and can influence social change at the individual, community, and public policy level.</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As part of the Advocate Model, the education phase ends when the client chooses a specific course of action and begins to marshal the resources necessary for effective self-advocacy. Thus, prior to moving into the facilitation phase, the rehabilitation counselor and client should carefully weigh the pros and cons of the each potential advocacy action, ultimately evaluating if social media advocacy is appropriate based on accurate information and the client's feelings (Brophy et al., 1974). Importantly, the rehabilitation counselor will not act on behalf of the client, so it is important that the client is ready to take on the responsibilities necessary to learn to assert control over the social justice problem (Chan et al., 1981).</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Facilitation Phase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Effective self-advocates must be able to articulate how the problem impacts other community member' lives (</w:t>
      </w:r>
      <w:proofErr w:type="spellStart"/>
      <w:r w:rsidRPr="0040441F">
        <w:rPr>
          <w:rFonts w:ascii="Helvetica" w:eastAsia="Times New Roman" w:hAnsi="Helvetica" w:cs="Helvetica"/>
          <w:color w:val="555555"/>
          <w:sz w:val="21"/>
          <w:szCs w:val="21"/>
        </w:rPr>
        <w:t>Roysircar</w:t>
      </w:r>
      <w:proofErr w:type="spellEnd"/>
      <w:r w:rsidRPr="0040441F">
        <w:rPr>
          <w:rFonts w:ascii="Helvetica" w:eastAsia="Times New Roman" w:hAnsi="Helvetica" w:cs="Helvetica"/>
          <w:color w:val="555555"/>
          <w:sz w:val="21"/>
          <w:szCs w:val="21"/>
        </w:rPr>
        <w:t xml:space="preserve">, 2009), and the first step in the facilitation phase is to frame the specific </w:t>
      </w:r>
      <w:r w:rsidRPr="0040441F">
        <w:rPr>
          <w:rFonts w:ascii="Helvetica" w:eastAsia="Times New Roman" w:hAnsi="Helvetica" w:cs="Helvetica"/>
          <w:color w:val="555555"/>
          <w:sz w:val="21"/>
          <w:szCs w:val="21"/>
        </w:rPr>
        <w:lastRenderedPageBreak/>
        <w:t xml:space="preserve">course of action in an affirmative format "in which the client is motivated to act for rather than against something" (Chan et al., 1981, p. 198). Similar to the way in which </w:t>
      </w:r>
      <w:proofErr w:type="spellStart"/>
      <w:r w:rsidRPr="0040441F">
        <w:rPr>
          <w:rFonts w:ascii="Helvetica" w:eastAsia="Times New Roman" w:hAnsi="Helvetica" w:cs="Helvetica"/>
          <w:color w:val="555555"/>
          <w:sz w:val="21"/>
          <w:szCs w:val="21"/>
        </w:rPr>
        <w:t>Bibliotherapy</w:t>
      </w:r>
      <w:proofErr w:type="spellEnd"/>
      <w:r w:rsidRPr="0040441F">
        <w:rPr>
          <w:rFonts w:ascii="Helvetica" w:eastAsia="Times New Roman" w:hAnsi="Helvetica" w:cs="Helvetica"/>
          <w:color w:val="555555"/>
          <w:sz w:val="21"/>
          <w:szCs w:val="21"/>
        </w:rPr>
        <w:t xml:space="preserve"> has been used to assist the personal developmental and therapeutic needs of clients (</w:t>
      </w:r>
      <w:proofErr w:type="spellStart"/>
      <w:r w:rsidRPr="0040441F">
        <w:rPr>
          <w:rFonts w:ascii="Helvetica" w:eastAsia="Times New Roman" w:hAnsi="Helvetica" w:cs="Helvetica"/>
          <w:color w:val="555555"/>
          <w:sz w:val="21"/>
          <w:szCs w:val="21"/>
        </w:rPr>
        <w:t>Marrs</w:t>
      </w:r>
      <w:proofErr w:type="spellEnd"/>
      <w:r w:rsidRPr="0040441F">
        <w:rPr>
          <w:rFonts w:ascii="Helvetica" w:eastAsia="Times New Roman" w:hAnsi="Helvetica" w:cs="Helvetica"/>
          <w:color w:val="555555"/>
          <w:sz w:val="21"/>
          <w:szCs w:val="21"/>
        </w:rPr>
        <w:t>, 1995), the emergence of social media offers an endless supply of advocacy narratives (Haller, 2010). Building a critical consciousness regarding the connection between the client's situation and larger societal issues, blogs written by disability advocates, such as the blog Not Dead Yet (2014) are an excellent resource to promote the notion that individuals do not need to be defined by social justice problems, and there is no reason that these individuals cannot live healthy and successful lives. Further, Twitter accounts written by disability activists, such as Hollywood actress Matlin, may help to connect an individual problem with a larger sociopolitical movement. Understanding the significance of advocacy may motivate a client to take action, and once action is taken, can assist the client to tolerate the potentially negative consequences of advocacy (</w:t>
      </w:r>
      <w:proofErr w:type="spellStart"/>
      <w:r w:rsidRPr="0040441F">
        <w:rPr>
          <w:rFonts w:ascii="Helvetica" w:eastAsia="Times New Roman" w:hAnsi="Helvetica" w:cs="Helvetica"/>
          <w:color w:val="555555"/>
          <w:sz w:val="21"/>
          <w:szCs w:val="21"/>
        </w:rPr>
        <w:t>Bemak</w:t>
      </w:r>
      <w:proofErr w:type="spellEnd"/>
      <w:r w:rsidRPr="0040441F">
        <w:rPr>
          <w:rFonts w:ascii="Helvetica" w:eastAsia="Times New Roman" w:hAnsi="Helvetica" w:cs="Helvetica"/>
          <w:color w:val="555555"/>
          <w:sz w:val="21"/>
          <w:szCs w:val="21"/>
        </w:rPr>
        <w:t xml:space="preserve"> &amp; Chung, 2008). Thus, social media is an invaluable tool to assist the client to form a new understanding of him or herself within a sociopolitical context.</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The second step in the facilitation phase is to consolidate the chosen action and begin to develop the tangible resources necessary to be successful (Brophy et al., 1974). In the past, it was recommended that clients consult with their family, friends, and local community members to solicit support and feedback about the chosen alternative (Chan et al., 1981). Today, social media applications have "expanded the use of community networks and online educational opportunities" (</w:t>
      </w:r>
      <w:proofErr w:type="spellStart"/>
      <w:r w:rsidRPr="0040441F">
        <w:rPr>
          <w:rFonts w:ascii="Helvetica" w:eastAsia="Times New Roman" w:hAnsi="Helvetica" w:cs="Helvetica"/>
          <w:color w:val="555555"/>
          <w:sz w:val="21"/>
          <w:szCs w:val="21"/>
        </w:rPr>
        <w:t>Guo</w:t>
      </w:r>
      <w:proofErr w:type="spellEnd"/>
      <w:r w:rsidRPr="0040441F">
        <w:rPr>
          <w:rFonts w:ascii="Helvetica" w:eastAsia="Times New Roman" w:hAnsi="Helvetica" w:cs="Helvetica"/>
          <w:color w:val="555555"/>
          <w:sz w:val="21"/>
          <w:szCs w:val="21"/>
        </w:rPr>
        <w:t xml:space="preserve"> &amp; Saxton, 2014, p. 58). For instance, the Disability Rights Education and Defense Fund (2014) is a leading national civil rights law and policy center directed by individuals with disabilities and parents who have children with disabilities. Further, there are online media advocacy courses, such as one developed by Haller (2014) to "introduce advocates to how to use traditional and online media advocacy techniques to build awareness of disability issues" (p. 1). Finally, across the country, Centers of Independent Living (CIL) run by persons with disability are increasingly moving to online forums to disseminate information and mobilize advocacy efforts. Today, social media has made the larger disability rights community available to anyone with a computer, which can be used to assist clients to develop necessary advocacy skills.</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The third and final step in the facilitation phase is to ensure that the client is independent and autonomous from the rehabilitation counselor (Brophy et al., 1974). In contrast to the education phase, in which the rehabilitation counselor and client may work together to conduct legal research, towards the end of the facilitation phase, the client should be able to access technology on his or her own or with the help of a trusted friend or family members (Chan et al., 1981). While the rehabilitation counselor will remain connected with the client during implementation, it is important </w:t>
      </w:r>
      <w:r w:rsidRPr="0040441F">
        <w:rPr>
          <w:rFonts w:ascii="Helvetica" w:eastAsia="Times New Roman" w:hAnsi="Helvetica" w:cs="Helvetica"/>
          <w:color w:val="555555"/>
          <w:sz w:val="21"/>
          <w:szCs w:val="21"/>
        </w:rPr>
        <w:lastRenderedPageBreak/>
        <w:t>that the client is comfortable with the decision and ability to advocate on his or her own. If the client needs assistance with the advocacy effort, the rehabilitation counselor may encourage the client to request assistance from a community member, family member, or other resources who can help with implementing the chosen social media action (Chan et al.). The process cannot be rushed, and rehabilitation counselors should be careful to allow the client to take as much time as necessary in the facilitation phase.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Implementation Phase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Finally, the Advocate Model promotes action (Brophy et al., 1974). For instance, in the case of employment discrimination, the client can (a) write an email describing the incident to a local newspaper, state legislator, and/or national legislator; (b) collaborate with a Center of Independent Living (CIL) to boycott and/or organize a peaceful protest; (c) consult with a federally funded One-Stop Center and seek to require that the employer attend an ADA (1990) workshop; or (d) email the employer directly with information on Title IV of the ADA and share how, with accommodations, the client can perform the essential duties of the job. While the advocacy action will depend on the individual client as well as the nature of the social justice problem, the following recommendations may improve the potential for successful self-advocacy: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1. Use written statements. In the past, written letters were considered one of the most effective advocacy actions (Chan et al., 1981; White, Thompson, &amp; Nary, 1997). Today, written statements via social media have the potential to be even more effective because they can have such as wide reach (Levin, 2012). In an increasingly digital world, well-crafted written statements via Twitter, Facebook, and </w:t>
      </w:r>
      <w:proofErr w:type="spellStart"/>
      <w:r w:rsidRPr="0040441F">
        <w:rPr>
          <w:rFonts w:ascii="Helvetica" w:eastAsia="Times New Roman" w:hAnsi="Helvetica" w:cs="Helvetica"/>
          <w:color w:val="555555"/>
          <w:sz w:val="21"/>
          <w:szCs w:val="21"/>
        </w:rPr>
        <w:t>Linkedln</w:t>
      </w:r>
      <w:proofErr w:type="spellEnd"/>
      <w:r w:rsidRPr="0040441F">
        <w:rPr>
          <w:rFonts w:ascii="Helvetica" w:eastAsia="Times New Roman" w:hAnsi="Helvetica" w:cs="Helvetica"/>
          <w:color w:val="555555"/>
          <w:sz w:val="21"/>
          <w:szCs w:val="21"/>
        </w:rPr>
        <w:t xml:space="preserve"> offer a low cost and convenient way to foster dialogic interactions with a large audience (</w:t>
      </w:r>
      <w:proofErr w:type="spellStart"/>
      <w:r w:rsidRPr="0040441F">
        <w:rPr>
          <w:rFonts w:ascii="Helvetica" w:eastAsia="Times New Roman" w:hAnsi="Helvetica" w:cs="Helvetica"/>
          <w:color w:val="555555"/>
          <w:sz w:val="21"/>
          <w:szCs w:val="21"/>
        </w:rPr>
        <w:t>Guo</w:t>
      </w:r>
      <w:proofErr w:type="spellEnd"/>
      <w:r w:rsidRPr="0040441F">
        <w:rPr>
          <w:rFonts w:ascii="Helvetica" w:eastAsia="Times New Roman" w:hAnsi="Helvetica" w:cs="Helvetica"/>
          <w:color w:val="555555"/>
          <w:sz w:val="21"/>
          <w:szCs w:val="21"/>
        </w:rPr>
        <w:t xml:space="preserve"> &amp; Saxton, 2014).</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2. Know the medium. Effective advocates will become familiar with the chosen medium in order to craft an appropriate message that grabs the attention of the intended audience (Levin, 2014). Specifically, Kaplan and </w:t>
      </w:r>
      <w:proofErr w:type="spellStart"/>
      <w:r w:rsidRPr="0040441F">
        <w:rPr>
          <w:rFonts w:ascii="Helvetica" w:eastAsia="Times New Roman" w:hAnsi="Helvetica" w:cs="Helvetica"/>
          <w:color w:val="555555"/>
          <w:sz w:val="21"/>
          <w:szCs w:val="21"/>
        </w:rPr>
        <w:t>Haenlein</w:t>
      </w:r>
      <w:proofErr w:type="spellEnd"/>
      <w:r w:rsidRPr="0040441F">
        <w:rPr>
          <w:rFonts w:ascii="Helvetica" w:eastAsia="Times New Roman" w:hAnsi="Helvetica" w:cs="Helvetica"/>
          <w:color w:val="555555"/>
          <w:sz w:val="21"/>
          <w:szCs w:val="21"/>
        </w:rPr>
        <w:t xml:space="preserve"> (2010) noted six types of social media: "collaborative projects, blogs, content communities, social networking sites, virtual game worlds, and virtual social worlds" (p. 60). It is important to understand the medium with respect to word limits as well as appropriate content.</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3. </w:t>
      </w:r>
      <w:proofErr w:type="gramStart"/>
      <w:r w:rsidRPr="0040441F">
        <w:rPr>
          <w:rFonts w:ascii="Helvetica" w:eastAsia="Times New Roman" w:hAnsi="Helvetica" w:cs="Helvetica"/>
          <w:color w:val="555555"/>
          <w:sz w:val="21"/>
          <w:szCs w:val="21"/>
        </w:rPr>
        <w:t>Be</w:t>
      </w:r>
      <w:proofErr w:type="gramEnd"/>
      <w:r w:rsidRPr="0040441F">
        <w:rPr>
          <w:rFonts w:ascii="Helvetica" w:eastAsia="Times New Roman" w:hAnsi="Helvetica" w:cs="Helvetica"/>
          <w:color w:val="555555"/>
          <w:sz w:val="21"/>
          <w:szCs w:val="21"/>
        </w:rPr>
        <w:t xml:space="preserve"> clear and concise. In the age of texting, it is particularly important to be clear and concise. In addition to a "pithy but interesting" subject line, Levin (2012) recommends the creation of a single sentence to articulate the problem, solution, and necessary action. As a complement to the single </w:t>
      </w:r>
      <w:r w:rsidRPr="0040441F">
        <w:rPr>
          <w:rFonts w:ascii="Helvetica" w:eastAsia="Times New Roman" w:hAnsi="Helvetica" w:cs="Helvetica"/>
          <w:color w:val="555555"/>
          <w:sz w:val="21"/>
          <w:szCs w:val="21"/>
        </w:rPr>
        <w:lastRenderedPageBreak/>
        <w:t>sentence, an attached paragraph or single-page message can be used to further inform interested readers. Regardless of length, it is essential to convey the ideas as crisply as possible.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4. Make specific requests. In the past, specific advocacy requests were recommended, such as "The purpose of my request is to" and "I request that you/ your agency" (Brophy et al., 1974, p. 58). Today, social media requests may use less formal language, such as "Read this. Check this out. Write to your Congressmen. DO something!" </w:t>
      </w:r>
      <w:proofErr w:type="gramStart"/>
      <w:r w:rsidRPr="0040441F">
        <w:rPr>
          <w:rFonts w:ascii="Helvetica" w:eastAsia="Times New Roman" w:hAnsi="Helvetica" w:cs="Helvetica"/>
          <w:color w:val="555555"/>
          <w:sz w:val="21"/>
          <w:szCs w:val="21"/>
        </w:rPr>
        <w:t>(Levin, 2012, p. 77).</w:t>
      </w:r>
      <w:proofErr w:type="gramEnd"/>
      <w:r w:rsidRPr="0040441F">
        <w:rPr>
          <w:rFonts w:ascii="Helvetica" w:eastAsia="Times New Roman" w:hAnsi="Helvetica" w:cs="Helvetica"/>
          <w:color w:val="555555"/>
          <w:sz w:val="21"/>
          <w:szCs w:val="21"/>
        </w:rPr>
        <w:t xml:space="preserve"> Whether the intent is to gather information or to mobilize action, specific requests force an individual or organization to respond in a certain way.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5. Verify information. Accurate information is crucial to the creditability of the message (Levin, 2012). Today, it is hard to verify the accuracy of all information posted to the Internet and thus it is essential to double check facts and statistics (Hamm et al., 2013). Even accurate information can be taken out of context and lead to misinterpretations and/or mischaracterization. Thus, it is important to use primary sources to verify the correctness of secondary source information on blogs and websites.</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6. </w:t>
      </w:r>
      <w:proofErr w:type="gramStart"/>
      <w:r w:rsidRPr="0040441F">
        <w:rPr>
          <w:rFonts w:ascii="Helvetica" w:eastAsia="Times New Roman" w:hAnsi="Helvetica" w:cs="Helvetica"/>
          <w:color w:val="555555"/>
          <w:sz w:val="21"/>
          <w:szCs w:val="21"/>
        </w:rPr>
        <w:t>Be</w:t>
      </w:r>
      <w:proofErr w:type="gramEnd"/>
      <w:r w:rsidRPr="0040441F">
        <w:rPr>
          <w:rFonts w:ascii="Helvetica" w:eastAsia="Times New Roman" w:hAnsi="Helvetica" w:cs="Helvetica"/>
          <w:color w:val="555555"/>
          <w:sz w:val="21"/>
          <w:szCs w:val="21"/>
        </w:rPr>
        <w:t xml:space="preserve"> civil. Regardless of the social media tactic, it is important to refrain from using profanity and/or personal attacks. As was true in the past, if a client is interested in future interactions with the organization that is being advocated against, it is important to be seen as civil (Brophy et al., 1974). In contrast to oral conversations, in today's digital age "flippant or facetious comment, statement, or video post" can easily be captured and disseminated in perpetuity (Cain, 2011, p. 1037). Thus, it is important to carefully review the language and tone before submitting messages.</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7. Maintain a presence. Interactivity is essential to effective social media advocacy, and social media messages "must be frequently updated and a monitor must respond to comments" (Levin, 2012, p. 76). Rather than attempting to go "viral" with a YouTube video or social media message, the use of abbreviated short statements with links to additional information is a more realistic approach to engage an audience over time.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8. Document records. In the past, effective advocacy was premised on the old legal adage: "what is not written does not exist" (Chan et al., 1981, p. 199). Today, a benefit of social media is the ease in which it is recorded and replicated (Barros-Bailey, 2012). Consistent with the Advocate Model, maintaining records can assist with future advocacy efforts as well as provide the client with tangible evidence that something is being done, which can motivate and serve as an example for future advocacy efforts (Brophy et al., 1974).</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lastRenderedPageBreak/>
        <w:t>9. Develop contacts. Often, it is more effective to develop relationships with intermediary groups as well as staff members who work for legislators, rather than attempting to write writing letters to legislators directly (Levin, 2012). Frequently, the role of legislative staff members is to stay abreast of news stories that mention the representative or Senator, including hearing from advocacy groups. In particular, partnering with disability rights organizations, such as Centers of Independent Living, may lead to the development of a supportive list of contacts over time.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Regardless of the advocacy effort, it is important to remember that even if the advocacy effort is unsuccessful, the client has likely learned new advocate skills (Chan et al., 1981). Importantly, self-advocacy is about independence; therefore, the goal of the Advocate Model is to assist a client to develop a self-directed and autonomous approach to advocacy that can be implemented without </w:t>
      </w:r>
      <w:proofErr w:type="gramStart"/>
      <w:r w:rsidRPr="0040441F">
        <w:rPr>
          <w:rFonts w:ascii="Helvetica" w:eastAsia="Times New Roman" w:hAnsi="Helvetica" w:cs="Helvetica"/>
          <w:color w:val="555555"/>
          <w:sz w:val="21"/>
          <w:szCs w:val="21"/>
        </w:rPr>
        <w:t>assistance</w:t>
      </w:r>
      <w:proofErr w:type="gramEnd"/>
      <w:r w:rsidRPr="0040441F">
        <w:rPr>
          <w:rFonts w:ascii="Helvetica" w:eastAsia="Times New Roman" w:hAnsi="Helvetica" w:cs="Helvetica"/>
          <w:color w:val="555555"/>
          <w:sz w:val="21"/>
          <w:szCs w:val="21"/>
        </w:rPr>
        <w:t xml:space="preserve"> from the rehabilitation counselor.</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Within counseling practice, facilitating client self-advocacy is a complex process that involves assisting clients to manage the negative emotional consequences of marginalization, develop therapeutic goals, and then design advocacy plans to confront the problem. As such, advocacy does not happen overnight, and a benefit of the Advocate Model is that it provides a structured process that rehabilitation counselors and clients can use to move from awareness to action. Further, the Advocate Model is designed to be recursive, rather than linear, meaning that the client can return to the education or facilitation phases even after the implementation phase. For additional information and examples, see the case studies contained in Chan et al. (1981), which describes how the model has been effectively used in the past.</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Ethics of Social Media 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As a potential client-level intervention, the ethics of client self-advocacy are complex and the choices rehabilitation counselors and clients make can be difficult (</w:t>
      </w:r>
      <w:proofErr w:type="spellStart"/>
      <w:r w:rsidRPr="0040441F">
        <w:rPr>
          <w:rFonts w:ascii="Helvetica" w:eastAsia="Times New Roman" w:hAnsi="Helvetica" w:cs="Helvetica"/>
          <w:color w:val="555555"/>
          <w:sz w:val="21"/>
          <w:szCs w:val="21"/>
        </w:rPr>
        <w:t>Cottone</w:t>
      </w:r>
      <w:proofErr w:type="spellEnd"/>
      <w:r w:rsidRPr="0040441F">
        <w:rPr>
          <w:rFonts w:ascii="Helvetica" w:eastAsia="Times New Roman" w:hAnsi="Helvetica" w:cs="Helvetica"/>
          <w:color w:val="555555"/>
          <w:sz w:val="21"/>
          <w:szCs w:val="21"/>
        </w:rPr>
        <w:t xml:space="preserve">, &amp; </w:t>
      </w:r>
      <w:proofErr w:type="spellStart"/>
      <w:r w:rsidRPr="0040441F">
        <w:rPr>
          <w:rFonts w:ascii="Helvetica" w:eastAsia="Times New Roman" w:hAnsi="Helvetica" w:cs="Helvetica"/>
          <w:color w:val="555555"/>
          <w:sz w:val="21"/>
          <w:szCs w:val="21"/>
        </w:rPr>
        <w:t>Tarvydas</w:t>
      </w:r>
      <w:proofErr w:type="spellEnd"/>
      <w:r w:rsidRPr="0040441F">
        <w:rPr>
          <w:rFonts w:ascii="Helvetica" w:eastAsia="Times New Roman" w:hAnsi="Helvetica" w:cs="Helvetica"/>
          <w:color w:val="555555"/>
          <w:sz w:val="21"/>
          <w:szCs w:val="21"/>
        </w:rPr>
        <w:t>, 2007). The increasingly digital nature of communication via social media will pose new and emerging ethical and practice questions (Chapin &amp; Byrne, 2013). As social media applications continue to evolve, rehabilitation counselors will adapt to the effects, but for now, there is a need for additional discussion regarding potential ethical issues related to the use of social media in rehabilitation counseling as a method to promote client self-advocacy.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Informed Consent</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Informed consent is an important ethical consideration (</w:t>
      </w:r>
      <w:proofErr w:type="spellStart"/>
      <w:r w:rsidRPr="0040441F">
        <w:rPr>
          <w:rFonts w:ascii="Helvetica" w:eastAsia="Times New Roman" w:hAnsi="Helvetica" w:cs="Helvetica"/>
          <w:color w:val="555555"/>
          <w:sz w:val="21"/>
          <w:szCs w:val="21"/>
        </w:rPr>
        <w:t>Herlihy</w:t>
      </w:r>
      <w:proofErr w:type="spellEnd"/>
      <w:r w:rsidRPr="0040441F">
        <w:rPr>
          <w:rFonts w:ascii="Helvetica" w:eastAsia="Times New Roman" w:hAnsi="Helvetica" w:cs="Helvetica"/>
          <w:color w:val="555555"/>
          <w:sz w:val="21"/>
          <w:szCs w:val="21"/>
        </w:rPr>
        <w:t xml:space="preserve"> &amp; Watson, 2007; </w:t>
      </w:r>
      <w:proofErr w:type="spellStart"/>
      <w:r w:rsidRPr="0040441F">
        <w:rPr>
          <w:rFonts w:ascii="Helvetica" w:eastAsia="Times New Roman" w:hAnsi="Helvetica" w:cs="Helvetica"/>
          <w:color w:val="555555"/>
          <w:sz w:val="21"/>
          <w:szCs w:val="21"/>
        </w:rPr>
        <w:t>Toporek</w:t>
      </w:r>
      <w:proofErr w:type="spellEnd"/>
      <w:r w:rsidRPr="0040441F">
        <w:rPr>
          <w:rFonts w:ascii="Helvetica" w:eastAsia="Times New Roman" w:hAnsi="Helvetica" w:cs="Helvetica"/>
          <w:color w:val="555555"/>
          <w:sz w:val="21"/>
          <w:szCs w:val="21"/>
        </w:rPr>
        <w:t xml:space="preserve"> &amp; Williams, 2006; </w:t>
      </w:r>
      <w:proofErr w:type="spellStart"/>
      <w:r w:rsidRPr="0040441F">
        <w:rPr>
          <w:rFonts w:ascii="Helvetica" w:eastAsia="Times New Roman" w:hAnsi="Helvetica" w:cs="Helvetica"/>
          <w:color w:val="555555"/>
          <w:sz w:val="21"/>
          <w:szCs w:val="21"/>
        </w:rPr>
        <w:t>Waldmann</w:t>
      </w:r>
      <w:proofErr w:type="spellEnd"/>
      <w:r w:rsidRPr="0040441F">
        <w:rPr>
          <w:rFonts w:ascii="Helvetica" w:eastAsia="Times New Roman" w:hAnsi="Helvetica" w:cs="Helvetica"/>
          <w:color w:val="555555"/>
          <w:sz w:val="21"/>
          <w:szCs w:val="21"/>
        </w:rPr>
        <w:t xml:space="preserve"> &amp; Blackwell, 2010). With regard to facilitating client self-advocacy, the Code </w:t>
      </w:r>
      <w:r w:rsidRPr="0040441F">
        <w:rPr>
          <w:rFonts w:ascii="Helvetica" w:eastAsia="Times New Roman" w:hAnsi="Helvetica" w:cs="Helvetica"/>
          <w:color w:val="555555"/>
          <w:sz w:val="21"/>
          <w:szCs w:val="21"/>
        </w:rPr>
        <w:lastRenderedPageBreak/>
        <w:t xml:space="preserve">mandates that "rehabilitation counselors obtain the consent of clients prior to engaging in advocacy efforts on behalf of specific, identifiable clients" (CRCC, 2010, </w:t>
      </w:r>
      <w:proofErr w:type="spellStart"/>
      <w:r w:rsidRPr="0040441F">
        <w:rPr>
          <w:rFonts w:ascii="Helvetica" w:eastAsia="Times New Roman" w:hAnsi="Helvetica" w:cs="Helvetica"/>
          <w:color w:val="555555"/>
          <w:sz w:val="21"/>
          <w:szCs w:val="21"/>
        </w:rPr>
        <w:t>C.l.d</w:t>
      </w:r>
      <w:proofErr w:type="spellEnd"/>
      <w:r w:rsidRPr="0040441F">
        <w:rPr>
          <w:rFonts w:ascii="Helvetica" w:eastAsia="Times New Roman" w:hAnsi="Helvetica" w:cs="Helvetica"/>
          <w:color w:val="555555"/>
          <w:sz w:val="21"/>
          <w:szCs w:val="21"/>
        </w:rPr>
        <w:t>., p. 10). Overall, rehabilitation counselors need to be careful not to hold the principles of social justice above the needs and desires of the individual client. The decision to advocate is the client's choice and, in some circumstances, the decision to not advocate can be just as empowering as taking action because it is an example of the client choosing to direct his or her own actions (Brophy et al., 1974; Chan et al., 1981). As part of informed consent, rehabilitation counselors should clearly explain the potential advantages and risks of social media advocacy.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Loss of Privacy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Loss of privacy is perhaps the most widely cited risk associated with social media (Boyd &amp; Ellison, 2008; Chapin &amp; Byrne, 2013). Today, the notion of a "digital footprint" means that individuals need to be increasingly carefully regarding the potential "consequences of each online action they take" because information on the Internet has the potential to follow individuals forever (Greyson, Kind, &amp; Chretien, 2010, p. 1228). Both the client and counselor alike must become increasingly savvy in what information is shared; in addition, shared information should be carefully screened to ensure it is not a breach of confidentiality to the client, counselor, or agency. In addition, rehabilitation agencies may have rules regarding the use of social media and, in some cases, rehabilitation counselors may be prohibited from encouraging clients to post service-related information on social media. Ultimately, information shared online is public record and rehabilitation counselors and clients must be increasingly savvy about what information is shared through social media.</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Competence</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Rehabilitation counselors need to be aware of the limits of their training and scope of practice and refer clients to other professionals, such as lawyers, if the social justice problem is beyond their competence. However, when appropriate, the Code mandates that "rehabilitation counselors are knowledgeable about local, regional, and national systems and laws, and how they affect access to employment, education, transportation, housing, financial benefits, and medical services for people </w:t>
      </w:r>
      <w:proofErr w:type="gramStart"/>
      <w:r w:rsidRPr="0040441F">
        <w:rPr>
          <w:rFonts w:ascii="Helvetica" w:eastAsia="Times New Roman" w:hAnsi="Helvetica" w:cs="Helvetica"/>
          <w:color w:val="555555"/>
          <w:sz w:val="21"/>
          <w:szCs w:val="21"/>
        </w:rPr>
        <w:t>with</w:t>
      </w:r>
      <w:proofErr w:type="gramEnd"/>
      <w:r w:rsidRPr="0040441F">
        <w:rPr>
          <w:rFonts w:ascii="Helvetica" w:eastAsia="Times New Roman" w:hAnsi="Helvetica" w:cs="Helvetica"/>
          <w:color w:val="555555"/>
          <w:sz w:val="21"/>
          <w:szCs w:val="21"/>
        </w:rPr>
        <w:t xml:space="preserve"> disabilities" (CRCC, 2010, </w:t>
      </w:r>
      <w:proofErr w:type="spellStart"/>
      <w:r w:rsidRPr="0040441F">
        <w:rPr>
          <w:rFonts w:ascii="Helvetica" w:eastAsia="Times New Roman" w:hAnsi="Helvetica" w:cs="Helvetica"/>
          <w:color w:val="555555"/>
          <w:sz w:val="21"/>
          <w:szCs w:val="21"/>
        </w:rPr>
        <w:t>C.l.e</w:t>
      </w:r>
      <w:proofErr w:type="spellEnd"/>
      <w:r w:rsidRPr="0040441F">
        <w:rPr>
          <w:rFonts w:ascii="Helvetica" w:eastAsia="Times New Roman" w:hAnsi="Helvetica" w:cs="Helvetica"/>
          <w:color w:val="555555"/>
          <w:sz w:val="21"/>
          <w:szCs w:val="21"/>
        </w:rPr>
        <w:t>., p. 10). Given the fact that legislative acts and court interpretations of the law are constantly evolving, the most important consideration is whether the rehabilitation counselor has the time and resources to assist the client to conduct legal research. Further, although the rehabilitation counselor does not need to possess advanced information technology competencies, it is more important to understand the potential benefits and risks of social media and advise the client accordingly.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lastRenderedPageBreak/>
        <w:t>Accessibility</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Access to technology is a concern. According to the Code, "rehabilitation counselors facilitate the provision of necessary accommodations, including physically and programmatically accessible facilities and services to individuals with disabilities (CRCC, 2010, C.2.a., p. 11). Unfortunately, the digital divide remains an issue, and research has found that individuals with disabilities are less likely to have physical access to computers than non-disabled people (Gorski &amp; Clark, 2002). Another concern is that assistive technology devices can be expensive and require specialized training (Barros-Bailey, 2012). Thus, rehabilitation counselors cannot expect that all clients will have equal access to computer technology. At the same time, most public libraries offer free Internet access, and advances in information technology are making it possible for anyone with an interest and point of view to effectively access and use social media.</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Boundaries</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Relationship boundaries are becoming more critical in our increasingly digital world. Specifically, the rehabilitation counselor will want to clarify their role and relationship with the client, including the ethical risks associated with virtual 'friending' between counselors and clients (Chapin &amp; </w:t>
      </w:r>
      <w:proofErr w:type="spellStart"/>
      <w:r w:rsidRPr="0040441F">
        <w:rPr>
          <w:rFonts w:ascii="Helvetica" w:eastAsia="Times New Roman" w:hAnsi="Helvetica" w:cs="Helvetica"/>
          <w:color w:val="555555"/>
          <w:sz w:val="21"/>
          <w:szCs w:val="21"/>
        </w:rPr>
        <w:t>Bryne</w:t>
      </w:r>
      <w:proofErr w:type="spellEnd"/>
      <w:r w:rsidRPr="0040441F">
        <w:rPr>
          <w:rFonts w:ascii="Helvetica" w:eastAsia="Times New Roman" w:hAnsi="Helvetica" w:cs="Helvetica"/>
          <w:color w:val="555555"/>
          <w:sz w:val="21"/>
          <w:szCs w:val="21"/>
        </w:rPr>
        <w:t>, 2013). Ethics scholars take a strong stance against the erosion of role and relationship boundaries (</w:t>
      </w:r>
      <w:proofErr w:type="spellStart"/>
      <w:r w:rsidRPr="0040441F">
        <w:rPr>
          <w:rFonts w:ascii="Helvetica" w:eastAsia="Times New Roman" w:hAnsi="Helvetica" w:cs="Helvetica"/>
          <w:color w:val="555555"/>
          <w:sz w:val="21"/>
          <w:szCs w:val="21"/>
        </w:rPr>
        <w:t>Cottone</w:t>
      </w:r>
      <w:proofErr w:type="spellEnd"/>
      <w:r w:rsidRPr="0040441F">
        <w:rPr>
          <w:rFonts w:ascii="Helvetica" w:eastAsia="Times New Roman" w:hAnsi="Helvetica" w:cs="Helvetica"/>
          <w:color w:val="555555"/>
          <w:sz w:val="21"/>
          <w:szCs w:val="21"/>
        </w:rPr>
        <w:t xml:space="preserve"> &amp; </w:t>
      </w:r>
      <w:proofErr w:type="spellStart"/>
      <w:r w:rsidRPr="0040441F">
        <w:rPr>
          <w:rFonts w:ascii="Helvetica" w:eastAsia="Times New Roman" w:hAnsi="Helvetica" w:cs="Helvetica"/>
          <w:color w:val="555555"/>
          <w:sz w:val="21"/>
          <w:szCs w:val="21"/>
        </w:rPr>
        <w:t>Tarvydas</w:t>
      </w:r>
      <w:proofErr w:type="spellEnd"/>
      <w:r w:rsidRPr="0040441F">
        <w:rPr>
          <w:rFonts w:ascii="Helvetica" w:eastAsia="Times New Roman" w:hAnsi="Helvetica" w:cs="Helvetica"/>
          <w:color w:val="555555"/>
          <w:sz w:val="21"/>
          <w:szCs w:val="21"/>
        </w:rPr>
        <w:t xml:space="preserve">, 2007), and it may be necessary to create a separate social media account to differentiate personal and professional use. While the rehabilitation counselor may not be able to 'friend' the client on social networking sites, there may be a way to join more social media </w:t>
      </w:r>
      <w:proofErr w:type="spellStart"/>
      <w:r w:rsidRPr="0040441F">
        <w:rPr>
          <w:rFonts w:ascii="Helvetica" w:eastAsia="Times New Roman" w:hAnsi="Helvetica" w:cs="Helvetica"/>
          <w:color w:val="555555"/>
          <w:sz w:val="21"/>
          <w:szCs w:val="21"/>
        </w:rPr>
        <w:t>listservs</w:t>
      </w:r>
      <w:proofErr w:type="spellEnd"/>
      <w:r w:rsidRPr="0040441F">
        <w:rPr>
          <w:rFonts w:ascii="Helvetica" w:eastAsia="Times New Roman" w:hAnsi="Helvetica" w:cs="Helvetica"/>
          <w:color w:val="555555"/>
          <w:sz w:val="21"/>
          <w:szCs w:val="21"/>
        </w:rPr>
        <w:t xml:space="preserve"> in order to demonstrate a personal and professional's commitment to the client and to the social justice cause (Chan et al., 1981).</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As social media continue to evolve, we are likely to see more explicit oversight regarding the use of social media in rehabilitation counseling. As a glimpse into the future, the Code of Ethics of the American Counseling Association (ACA, 2014) was recently revised and now contains specific standards addressing the use of social media in counseling. The standards established in this revision focused primarily on the nature of the virtual presence of both the counselor and client, as well as protecting the privacy and confidentiality of the client. Additionally, these new standards do require that counselors clearly explain to clients "the benefits, limitations, and boundaries of the use of social media" (ACA, 2014, p. 17) as part of the informed consent process. This inclusion of a proactive directive to consider the use of social media to benefit the client provides an indication that the type of constructive use of social media to assist clients, as is proposed </w:t>
      </w:r>
      <w:proofErr w:type="gramStart"/>
      <w:r w:rsidRPr="0040441F">
        <w:rPr>
          <w:rFonts w:ascii="Helvetica" w:eastAsia="Times New Roman" w:hAnsi="Helvetica" w:cs="Helvetica"/>
          <w:color w:val="555555"/>
          <w:sz w:val="21"/>
          <w:szCs w:val="21"/>
        </w:rPr>
        <w:t>here,</w:t>
      </w:r>
      <w:proofErr w:type="gramEnd"/>
      <w:r w:rsidRPr="0040441F">
        <w:rPr>
          <w:rFonts w:ascii="Helvetica" w:eastAsia="Times New Roman" w:hAnsi="Helvetica" w:cs="Helvetica"/>
          <w:color w:val="555555"/>
          <w:sz w:val="21"/>
          <w:szCs w:val="21"/>
        </w:rPr>
        <w:t xml:space="preserve"> is likely to become a more common practice for counselors. Thus, in the near future, revisions to the CRCC Code may include specific ethical standards regulating the use of social media in rehabilitation counseling. Until </w:t>
      </w:r>
      <w:r w:rsidRPr="0040441F">
        <w:rPr>
          <w:rFonts w:ascii="Helvetica" w:eastAsia="Times New Roman" w:hAnsi="Helvetica" w:cs="Helvetica"/>
          <w:color w:val="555555"/>
          <w:sz w:val="21"/>
          <w:szCs w:val="21"/>
        </w:rPr>
        <w:lastRenderedPageBreak/>
        <w:t>then, it is important that rehabilitation counselors use particular caution with respect to the use of social media.</w:t>
      </w:r>
    </w:p>
    <w:p w:rsidR="00AD41D9"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Implication</w:t>
      </w:r>
      <w:r w:rsidR="00AD41D9">
        <w:rPr>
          <w:rFonts w:ascii="Helvetica" w:eastAsia="Times New Roman" w:hAnsi="Helvetica" w:cs="Helvetica"/>
          <w:color w:val="555555"/>
          <w:sz w:val="21"/>
          <w:szCs w:val="21"/>
        </w:rPr>
        <w:t>s</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The integration of social media advocacy in rehabilitation counseling is not only an intervention to target environmental change, but it is also a therapeutic intervention to increase a client's sense of self-worth and agency. In fact, learning to search the Internet for legal information as well as first-person narratives from other individuals who have experienced similar problems may in and of </w:t>
      </w:r>
      <w:proofErr w:type="gramStart"/>
      <w:r w:rsidRPr="0040441F">
        <w:rPr>
          <w:rFonts w:ascii="Helvetica" w:eastAsia="Times New Roman" w:hAnsi="Helvetica" w:cs="Helvetica"/>
          <w:color w:val="555555"/>
          <w:sz w:val="21"/>
          <w:szCs w:val="21"/>
        </w:rPr>
        <w:t>itself</w:t>
      </w:r>
      <w:proofErr w:type="gramEnd"/>
      <w:r w:rsidRPr="0040441F">
        <w:rPr>
          <w:rFonts w:ascii="Helvetica" w:eastAsia="Times New Roman" w:hAnsi="Helvetica" w:cs="Helvetica"/>
          <w:color w:val="555555"/>
          <w:sz w:val="21"/>
          <w:szCs w:val="21"/>
        </w:rPr>
        <w:t xml:space="preserve"> lead to more positive rehabilitation outcomes. Furthermore, the act of ensuring that a client has access to social media represents an important distributive justice principle. In fact, the future of rehabilitation counseling practice may increasingly involve helping clients to identify healthy and supportive Twitter feeds as well as therapeutic blogs that highlight can assist individuals to respond creatively and successfully to disability concerns.</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As a specialty area of practice within the broader field of counseling, the use of social media as a method of advocacy is consistent with the American Counseling Association (ACA) advocacy competencies to effectively advocate within three domains: the client, community, and public policy (</w:t>
      </w:r>
      <w:proofErr w:type="spellStart"/>
      <w:r w:rsidRPr="0040441F">
        <w:rPr>
          <w:rFonts w:ascii="Helvetica" w:eastAsia="Times New Roman" w:hAnsi="Helvetica" w:cs="Helvetica"/>
          <w:color w:val="555555"/>
          <w:sz w:val="21"/>
          <w:szCs w:val="21"/>
        </w:rPr>
        <w:t>Ratts</w:t>
      </w:r>
      <w:proofErr w:type="spellEnd"/>
      <w:r w:rsidRPr="0040441F">
        <w:rPr>
          <w:rFonts w:ascii="Helvetica" w:eastAsia="Times New Roman" w:hAnsi="Helvetica" w:cs="Helvetica"/>
          <w:color w:val="555555"/>
          <w:sz w:val="21"/>
          <w:szCs w:val="21"/>
        </w:rPr>
        <w:t xml:space="preserve">, </w:t>
      </w:r>
      <w:proofErr w:type="spellStart"/>
      <w:r w:rsidRPr="0040441F">
        <w:rPr>
          <w:rFonts w:ascii="Helvetica" w:eastAsia="Times New Roman" w:hAnsi="Helvetica" w:cs="Helvetica"/>
          <w:color w:val="555555"/>
          <w:sz w:val="21"/>
          <w:szCs w:val="21"/>
        </w:rPr>
        <w:t>Toporek</w:t>
      </w:r>
      <w:proofErr w:type="spellEnd"/>
      <w:r w:rsidRPr="0040441F">
        <w:rPr>
          <w:rFonts w:ascii="Helvetica" w:eastAsia="Times New Roman" w:hAnsi="Helvetica" w:cs="Helvetica"/>
          <w:color w:val="555555"/>
          <w:sz w:val="21"/>
          <w:szCs w:val="21"/>
        </w:rPr>
        <w:t>, &amp; Lewis, 2010). Social media can be used to advocate for change in all three domains (client, community, public arena); however, the ACA advocacy competencies place the client's needs first. Thus, a primary goal of the ACA advocacy competencies, client advocacy, is assisting clients to develop "new strengths, knowledge, and abilities to the point that these clients do not require the assistance of mental health practitioners or other comparable service providers" (</w:t>
      </w:r>
      <w:proofErr w:type="spellStart"/>
      <w:r w:rsidRPr="0040441F">
        <w:rPr>
          <w:rFonts w:ascii="Helvetica" w:eastAsia="Times New Roman" w:hAnsi="Helvetica" w:cs="Helvetica"/>
          <w:color w:val="555555"/>
          <w:sz w:val="21"/>
          <w:szCs w:val="21"/>
        </w:rPr>
        <w:t>Crethar</w:t>
      </w:r>
      <w:proofErr w:type="spellEnd"/>
      <w:r w:rsidRPr="0040441F">
        <w:rPr>
          <w:rFonts w:ascii="Helvetica" w:eastAsia="Times New Roman" w:hAnsi="Helvetica" w:cs="Helvetica"/>
          <w:color w:val="555555"/>
          <w:sz w:val="21"/>
          <w:szCs w:val="21"/>
        </w:rPr>
        <w:t xml:space="preserve">, Rivera, &amp; Nash, 2008, p. 273). In the near future, social media as a method of client self-advocacy may be an increasingly important client-level intervention. In many ways, the world is involved in a major cultural shift with respect to digital communication and media. Considering that new generations of clients, as well as rehabilitation counseling professionals, are likely to be digital natives who grew up using social media, such as Twitter, Facebook, </w:t>
      </w:r>
      <w:proofErr w:type="spellStart"/>
      <w:r w:rsidRPr="0040441F">
        <w:rPr>
          <w:rFonts w:ascii="Helvetica" w:eastAsia="Times New Roman" w:hAnsi="Helvetica" w:cs="Helvetica"/>
          <w:color w:val="555555"/>
          <w:sz w:val="21"/>
          <w:szCs w:val="21"/>
        </w:rPr>
        <w:t>Linkedln</w:t>
      </w:r>
      <w:proofErr w:type="spellEnd"/>
      <w:r w:rsidRPr="0040441F">
        <w:rPr>
          <w:rFonts w:ascii="Helvetica" w:eastAsia="Times New Roman" w:hAnsi="Helvetica" w:cs="Helvetica"/>
          <w:color w:val="555555"/>
          <w:sz w:val="21"/>
          <w:szCs w:val="21"/>
        </w:rPr>
        <w:t xml:space="preserve">, YouTube, blogs, wikis, and mobile applications, social media may become the preferred format for communication (Chapin &amp; </w:t>
      </w:r>
      <w:proofErr w:type="spellStart"/>
      <w:r w:rsidRPr="0040441F">
        <w:rPr>
          <w:rFonts w:ascii="Helvetica" w:eastAsia="Times New Roman" w:hAnsi="Helvetica" w:cs="Helvetica"/>
          <w:color w:val="555555"/>
          <w:sz w:val="21"/>
          <w:szCs w:val="21"/>
        </w:rPr>
        <w:t>Bryne</w:t>
      </w:r>
      <w:proofErr w:type="spellEnd"/>
      <w:r w:rsidRPr="0040441F">
        <w:rPr>
          <w:rFonts w:ascii="Helvetica" w:eastAsia="Times New Roman" w:hAnsi="Helvetica" w:cs="Helvetica"/>
          <w:color w:val="555555"/>
          <w:sz w:val="21"/>
          <w:szCs w:val="21"/>
        </w:rPr>
        <w:t>, 2013). As an example, it is easy to imagine a rehabilitation professional and client setting up a meeting via text messaging. Further, text messaging can be used to provide support and encouragement, such as before a job interview.</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 xml:space="preserve">In terms of education, there is a wealth of literature on train-the-trainer models, in which rehabilitation education programs teach emerging professionals skills that are then taught to clients. As such, rehabilitation education may want to consider adding additional curriculum that teaches rehabilitation counselors how to help clients to self-advocate using social media. Whether as a </w:t>
      </w:r>
      <w:r w:rsidRPr="0040441F">
        <w:rPr>
          <w:rFonts w:ascii="Helvetica" w:eastAsia="Times New Roman" w:hAnsi="Helvetica" w:cs="Helvetica"/>
          <w:color w:val="555555"/>
          <w:sz w:val="21"/>
          <w:szCs w:val="21"/>
        </w:rPr>
        <w:lastRenderedPageBreak/>
        <w:t>stand-alone course or as curriculum infused into other courses, semester long advocacy projects can be designed in which students are required to research and implement a social media advocacy project. In addition, rehabilitation educators can have students compile a list of disability rights websites and blogs. The larger point, it seems, is that rehabilitation educators have a responsibility to ensure that rehabilitation counselors graduating from master's degree programs have sufficient skills to assist clients to self-advocacy when appropriate, including social media advocacy. In particular, social media blogs, YouTube videos, and civil rights websites are critical resources in an increasingly digital society (See Table 1).</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With limited literature addressing the use of social media advocacy in rehabilitation counseling, there are multiple avenues for future research. The first is a content analysis of the type of information posted on social media by disability advocates, including message-level analyses to better understand the role of social media in advocacy work (</w:t>
      </w:r>
      <w:proofErr w:type="spellStart"/>
      <w:r w:rsidRPr="0040441F">
        <w:rPr>
          <w:rFonts w:ascii="Helvetica" w:eastAsia="Times New Roman" w:hAnsi="Helvetica" w:cs="Helvetica"/>
          <w:color w:val="555555"/>
          <w:sz w:val="21"/>
          <w:szCs w:val="21"/>
        </w:rPr>
        <w:t>Obar</w:t>
      </w:r>
      <w:proofErr w:type="spellEnd"/>
      <w:r w:rsidRPr="0040441F">
        <w:rPr>
          <w:rFonts w:ascii="Helvetica" w:eastAsia="Times New Roman" w:hAnsi="Helvetica" w:cs="Helvetica"/>
          <w:color w:val="555555"/>
          <w:sz w:val="21"/>
          <w:szCs w:val="21"/>
        </w:rPr>
        <w:t xml:space="preserve"> et al., 2012). Another approach is qualitative interviews with disability advocates to examine the impact of social media on the subjective experience of rehabilitation and disability, which may involve participatory action research involving people with disabilities (Marini, 2012). Finally, researchers may want to survey rehabilitation counselors to examine what social media advocacy tactics are most appropriate within particular re- habilitation settings, such as state-federal rehabilitation, private-for-profit rehabilitation, and private-not-for-profit rehabilitation. Overall, researchers may want to examine not only the prevalence of social media, but rather, how clients use social media, and when they do, what is the impact on experience of disability and rehabilitation. Finally, a well-designed social media plan is increasingly essential to disseminate the results of large-scale research projects, including all Rehabilitation Research and Training Centers funded by the National Institute on Disability and Rehabilitation Research (NIDRR). While research itself may or may not focus on the Internet and advocacy, the dissemination of all research findings via social media is a form of knowledge translation that may be used by individuals with disabilities to advocate for civil rights issues.</w:t>
      </w:r>
    </w:p>
    <w:p w:rsidR="0040441F" w:rsidRP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Conclusion</w:t>
      </w:r>
    </w:p>
    <w:p w:rsidR="0040441F" w:rsidRDefault="0040441F" w:rsidP="0040441F">
      <w:pPr>
        <w:shd w:val="clear" w:color="auto" w:fill="FFFFFF"/>
        <w:spacing w:after="255" w:line="360" w:lineRule="atLeast"/>
        <w:rPr>
          <w:rFonts w:ascii="Helvetica" w:eastAsia="Times New Roman" w:hAnsi="Helvetica" w:cs="Helvetica"/>
          <w:color w:val="555555"/>
          <w:sz w:val="21"/>
          <w:szCs w:val="21"/>
        </w:rPr>
      </w:pPr>
      <w:r w:rsidRPr="0040441F">
        <w:rPr>
          <w:rFonts w:ascii="Helvetica" w:eastAsia="Times New Roman" w:hAnsi="Helvetica" w:cs="Helvetica"/>
          <w:color w:val="555555"/>
          <w:sz w:val="21"/>
          <w:szCs w:val="21"/>
        </w:rPr>
        <w:t>As information technology becomes an increasingly integral part of rehabilitation counseling practice, the emergence of popular social media tools, such as Twitter, Facebook, YouTube, blogs, and wikis may be an additional tool to confront social justice inequities that are impeding the well-being of individuals with disabilities. In response, this article discussed the ethics and practice of social media as a method of advocacy in rehabilitation counseling with a focus on facilitating client self-advocacy.</w:t>
      </w:r>
    </w:p>
    <w:p w:rsidR="00AD41D9" w:rsidRPr="0040441F" w:rsidRDefault="00AD41D9" w:rsidP="0040441F">
      <w:pPr>
        <w:shd w:val="clear" w:color="auto" w:fill="FFFFFF"/>
        <w:spacing w:after="255" w:line="360" w:lineRule="atLeast"/>
        <w:rPr>
          <w:rFonts w:ascii="Helvetica" w:eastAsia="Times New Roman" w:hAnsi="Helvetica" w:cs="Helvetica"/>
          <w:color w:val="555555"/>
          <w:sz w:val="21"/>
          <w:szCs w:val="21"/>
        </w:rPr>
      </w:pPr>
      <w:proofErr w:type="gramStart"/>
      <w:r w:rsidRPr="00AD41D9">
        <w:rPr>
          <w:rFonts w:ascii="Helvetica" w:eastAsia="Times New Roman" w:hAnsi="Helvetica" w:cs="Helvetica"/>
          <w:color w:val="555555"/>
          <w:sz w:val="21"/>
          <w:szCs w:val="21"/>
        </w:rPr>
        <w:t xml:space="preserve">Hartley, M. T., Johnston, S. P., &amp; </w:t>
      </w:r>
      <w:proofErr w:type="spellStart"/>
      <w:r w:rsidRPr="00AD41D9">
        <w:rPr>
          <w:rFonts w:ascii="Helvetica" w:eastAsia="Times New Roman" w:hAnsi="Helvetica" w:cs="Helvetica"/>
          <w:color w:val="555555"/>
          <w:sz w:val="21"/>
          <w:szCs w:val="21"/>
        </w:rPr>
        <w:t>Tarvydas</w:t>
      </w:r>
      <w:proofErr w:type="spellEnd"/>
      <w:r w:rsidRPr="00AD41D9">
        <w:rPr>
          <w:rFonts w:ascii="Helvetica" w:eastAsia="Times New Roman" w:hAnsi="Helvetica" w:cs="Helvetica"/>
          <w:color w:val="555555"/>
          <w:sz w:val="21"/>
          <w:szCs w:val="21"/>
        </w:rPr>
        <w:t>, V. M. (2015).</w:t>
      </w:r>
      <w:proofErr w:type="gramEnd"/>
      <w:r w:rsidRPr="00AD41D9">
        <w:rPr>
          <w:rFonts w:ascii="Helvetica" w:eastAsia="Times New Roman" w:hAnsi="Helvetica" w:cs="Helvetica"/>
          <w:color w:val="555555"/>
          <w:sz w:val="21"/>
          <w:szCs w:val="21"/>
        </w:rPr>
        <w:t xml:space="preserve"> </w:t>
      </w:r>
      <w:proofErr w:type="gramStart"/>
      <w:r w:rsidRPr="00AD41D9">
        <w:rPr>
          <w:rFonts w:ascii="Helvetica" w:eastAsia="Times New Roman" w:hAnsi="Helvetica" w:cs="Helvetica"/>
          <w:color w:val="555555"/>
          <w:sz w:val="21"/>
          <w:szCs w:val="21"/>
        </w:rPr>
        <w:t>The ethics and practice of social media advocacy in rehabilitation counseling.</w:t>
      </w:r>
      <w:proofErr w:type="gramEnd"/>
      <w:r w:rsidRPr="00AD41D9">
        <w:rPr>
          <w:rFonts w:ascii="Helvetica" w:eastAsia="Times New Roman" w:hAnsi="Helvetica" w:cs="Helvetica"/>
          <w:color w:val="555555"/>
          <w:sz w:val="21"/>
          <w:szCs w:val="21"/>
        </w:rPr>
        <w:t xml:space="preserve"> </w:t>
      </w:r>
      <w:proofErr w:type="gramStart"/>
      <w:r w:rsidRPr="00AD41D9">
        <w:rPr>
          <w:rFonts w:ascii="Helvetica" w:eastAsia="Times New Roman" w:hAnsi="Helvetica" w:cs="Helvetica"/>
          <w:color w:val="555555"/>
          <w:sz w:val="21"/>
          <w:szCs w:val="21"/>
        </w:rPr>
        <w:t>The Journal of Rehabilitation, 81(1), 42.</w:t>
      </w:r>
      <w:proofErr w:type="gramEnd"/>
    </w:p>
    <w:p w:rsidR="0040441F" w:rsidRDefault="0040441F"/>
    <w:p w:rsidR="00B14316" w:rsidRDefault="00B14316"/>
    <w:p w:rsidR="00B14316" w:rsidRDefault="00B14316"/>
    <w:p w:rsidR="00B14316" w:rsidRDefault="00B14316"/>
    <w:p w:rsidR="00B14316" w:rsidRDefault="00B14316"/>
    <w:p w:rsidR="00B14316" w:rsidRDefault="00B14316"/>
    <w:p w:rsidR="00B14316" w:rsidRDefault="00B14316"/>
    <w:p w:rsidR="00B14316" w:rsidRDefault="00B14316"/>
    <w:p w:rsidR="00CE16ED" w:rsidRDefault="00CE16ED">
      <w:r>
        <w:t>ARTICLE 2</w:t>
      </w:r>
    </w:p>
    <w:p w:rsidR="00CE16ED" w:rsidRDefault="00CE16ED"/>
    <w:p w:rsidR="00CE16ED" w:rsidRDefault="00B14316" w:rsidP="00CE16ED">
      <w:pPr>
        <w:pStyle w:val="Heading2"/>
        <w:spacing w:before="0" w:beforeAutospacing="0" w:after="0" w:afterAutospacing="0"/>
        <w:textAlignment w:val="baseline"/>
        <w:rPr>
          <w:rFonts w:ascii="Helvetica" w:hAnsi="Helvetica" w:cs="Helvetica"/>
          <w:color w:val="222222"/>
          <w:sz w:val="45"/>
          <w:szCs w:val="45"/>
        </w:rPr>
      </w:pPr>
      <w:proofErr w:type="gramStart"/>
      <w:r>
        <w:rPr>
          <w:rFonts w:ascii="Helvetica" w:hAnsi="Helvetica" w:cs="Helvetica"/>
          <w:color w:val="222222"/>
          <w:sz w:val="45"/>
          <w:szCs w:val="45"/>
        </w:rPr>
        <w:t>Ethical and Legal Considerations When Counselling Children and Families.</w:t>
      </w:r>
      <w:proofErr w:type="gramEnd"/>
      <w:r>
        <w:rPr>
          <w:rFonts w:ascii="Helvetica" w:hAnsi="Helvetica" w:cs="Helvetica"/>
          <w:color w:val="222222"/>
          <w:sz w:val="45"/>
          <w:szCs w:val="45"/>
        </w:rPr>
        <w:t> </w:t>
      </w:r>
    </w:p>
    <w:p w:rsidR="00B14316" w:rsidRDefault="00B14316" w:rsidP="00CE16ED">
      <w:pPr>
        <w:pStyle w:val="Heading2"/>
        <w:spacing w:before="0" w:beforeAutospacing="0" w:after="0" w:afterAutospacing="0"/>
        <w:textAlignment w:val="baseline"/>
      </w:pPr>
      <w:r>
        <w:br/>
      </w:r>
      <w:proofErr w:type="gramStart"/>
      <w:r>
        <w:rPr>
          <w:rFonts w:ascii="Helvetica" w:hAnsi="Helvetica" w:cs="Helvetica"/>
          <w:color w:val="333333"/>
          <w:sz w:val="20"/>
          <w:szCs w:val="20"/>
          <w:shd w:val="clear" w:color="auto" w:fill="F6F6EF"/>
        </w:rPr>
        <w:t>Ethical and Legal Considerations When Counselling Children and Families.</w:t>
      </w:r>
      <w:proofErr w:type="gramEnd"/>
      <w:r>
        <w:rPr>
          <w:rStyle w:val="updated-short-citation"/>
          <w:rFonts w:ascii="Helvetica" w:hAnsi="Helvetica" w:cs="Helvetica"/>
          <w:color w:val="333333"/>
          <w:sz w:val="20"/>
          <w:szCs w:val="20"/>
          <w:bdr w:val="none" w:sz="0" w:space="0" w:color="auto" w:frame="1"/>
          <w:shd w:val="clear" w:color="auto" w:fill="F6F6EF"/>
        </w:rPr>
        <w:t xml:space="preserve"> By: </w:t>
      </w:r>
      <w:proofErr w:type="spellStart"/>
      <w:r>
        <w:rPr>
          <w:rStyle w:val="updated-short-citation"/>
          <w:rFonts w:ascii="Helvetica" w:hAnsi="Helvetica" w:cs="Helvetica"/>
          <w:color w:val="333333"/>
          <w:sz w:val="20"/>
          <w:szCs w:val="20"/>
          <w:bdr w:val="none" w:sz="0" w:space="0" w:color="auto" w:frame="1"/>
          <w:shd w:val="clear" w:color="auto" w:fill="F6F6EF"/>
        </w:rPr>
        <w:t>Sori</w:t>
      </w:r>
      <w:proofErr w:type="spellEnd"/>
      <w:r>
        <w:rPr>
          <w:rStyle w:val="updated-short-citation"/>
          <w:rFonts w:ascii="Helvetica" w:hAnsi="Helvetica" w:cs="Helvetica"/>
          <w:color w:val="333333"/>
          <w:sz w:val="20"/>
          <w:szCs w:val="20"/>
          <w:bdr w:val="none" w:sz="0" w:space="0" w:color="auto" w:frame="1"/>
          <w:shd w:val="clear" w:color="auto" w:fill="F6F6EF"/>
        </w:rPr>
        <w:t>, Catherine Ford, Hecker, Lorna L., Australian &amp; New Zealand Journal of Family Therapy, 0814723X, Dec2015, Vol. 36, Issue 4</w:t>
      </w:r>
    </w:p>
    <w:p w:rsidR="00CE16ED" w:rsidRPr="00B14316" w:rsidRDefault="00CE16ED" w:rsidP="00CE16ED">
      <w:pPr>
        <w:pStyle w:val="body-paragraph"/>
        <w:spacing w:before="0" w:beforeAutospacing="0" w:after="0" w:afterAutospacing="0"/>
        <w:textAlignment w:val="baseline"/>
      </w:pPr>
      <w:r w:rsidRPr="00B14316">
        <w:t xml:space="preserve">There are numerous unique legal and ethical concerns that clinicians should consider when counselling children, adolescents, and their families. These, however, are not generally </w:t>
      </w:r>
      <w:proofErr w:type="spellStart"/>
      <w:r w:rsidRPr="00B14316">
        <w:t>emphasised</w:t>
      </w:r>
      <w:proofErr w:type="spellEnd"/>
      <w:r w:rsidRPr="00B14316">
        <w:t xml:space="preserve"> in most ethics courses in graduate training programs. While ethical codes vary among professional </w:t>
      </w:r>
      <w:proofErr w:type="spellStart"/>
      <w:r w:rsidRPr="00B14316">
        <w:t>organisations</w:t>
      </w:r>
      <w:proofErr w:type="spellEnd"/>
      <w:r w:rsidRPr="00B14316">
        <w:t xml:space="preserve"> (e.g., marriage and family therapy, counselling, social work, psychology), this article addresses many subjects that are common across disciplines, such as ( </w:t>
      </w:r>
      <w:hyperlink r:id="rId10" w:anchor="bib1" w:tooltip="1" w:history="1">
        <w:r w:rsidRPr="00B14316">
          <w:rPr>
            <w:rStyle w:val="Hyperlink"/>
            <w:color w:val="005BC6"/>
            <w:bdr w:val="none" w:sz="0" w:space="0" w:color="auto" w:frame="1"/>
          </w:rPr>
          <w:t>1</w:t>
        </w:r>
      </w:hyperlink>
      <w:r w:rsidRPr="00B14316">
        <w:t>) informed consent, ( </w:t>
      </w:r>
      <w:hyperlink r:id="rId11" w:anchor="bib2" w:tooltip="2" w:history="1">
        <w:r w:rsidRPr="00B14316">
          <w:rPr>
            <w:rStyle w:val="Hyperlink"/>
            <w:color w:val="005BC6"/>
            <w:bdr w:val="none" w:sz="0" w:space="0" w:color="auto" w:frame="1"/>
          </w:rPr>
          <w:t>2</w:t>
        </w:r>
      </w:hyperlink>
      <w:r w:rsidRPr="00B14316">
        <w:t>) types of confidentiality, exceptions, and reporting issues, ( </w:t>
      </w:r>
      <w:hyperlink r:id="rId12" w:anchor="bib3" w:tooltip="3" w:history="1">
        <w:r w:rsidRPr="00B14316">
          <w:rPr>
            <w:rStyle w:val="Hyperlink"/>
            <w:color w:val="005BC6"/>
            <w:bdr w:val="none" w:sz="0" w:space="0" w:color="auto" w:frame="1"/>
          </w:rPr>
          <w:t>3</w:t>
        </w:r>
      </w:hyperlink>
      <w:r w:rsidRPr="00B14316">
        <w:t>) sharing information revealed to the practitioner to parents, and ( </w:t>
      </w:r>
      <w:hyperlink r:id="rId13" w:anchor="bib4" w:tooltip="4" w:history="1">
        <w:r w:rsidRPr="00B14316">
          <w:rPr>
            <w:rStyle w:val="Hyperlink"/>
            <w:color w:val="005BC6"/>
            <w:bdr w:val="none" w:sz="0" w:space="0" w:color="auto" w:frame="1"/>
          </w:rPr>
          <w:t>4</w:t>
        </w:r>
      </w:hyperlink>
      <w:r w:rsidRPr="00B14316">
        <w:t xml:space="preserve">) subpoenas. Other important topics are the importance of counsellor competencies, multicultural considerations, and special topics including the use of touch and the role of the professional in divorce situations. Additionally, the role of computing and social media can enhance relationships for children, or be sources of stress or trauma. Lastly, laws, which typically supersede ethical codes </w:t>
      </w:r>
      <w:proofErr w:type="gramStart"/>
      <w:r w:rsidRPr="00B14316">
        <w:t>often</w:t>
      </w:r>
      <w:proofErr w:type="gramEnd"/>
      <w:r w:rsidRPr="00B14316">
        <w:t xml:space="preserve"> vary from state to state and nation to nation, and it is imperative that clinicians are </w:t>
      </w:r>
      <w:proofErr w:type="spellStart"/>
      <w:r w:rsidRPr="00B14316">
        <w:t>cognisant</w:t>
      </w:r>
      <w:proofErr w:type="spellEnd"/>
      <w:r w:rsidRPr="00B14316">
        <w:t xml:space="preserve"> of those in their jurisdiction.</w:t>
      </w:r>
    </w:p>
    <w:p w:rsidR="00CE16ED" w:rsidRPr="00B14316" w:rsidRDefault="00CE16ED" w:rsidP="00CE16ED">
      <w:pPr>
        <w:pStyle w:val="body-paragraph"/>
        <w:spacing w:before="0" w:beforeAutospacing="0" w:after="0" w:afterAutospacing="0"/>
        <w:textAlignment w:val="baseline"/>
      </w:pPr>
      <w:r w:rsidRPr="00B14316">
        <w:t>ethics; children; families; confidentiality; reporting issues; subpoenas; informed consent; touch; multicultural</w:t>
      </w:r>
    </w:p>
    <w:p w:rsidR="00CE16ED" w:rsidRPr="00B14316" w:rsidRDefault="00CE16ED" w:rsidP="00CE16ED">
      <w:pPr>
        <w:pStyle w:val="body-paragraph"/>
        <w:spacing w:before="0" w:beforeAutospacing="0" w:after="0" w:afterAutospacing="0"/>
        <w:textAlignment w:val="baseline"/>
      </w:pPr>
      <w:r w:rsidRPr="00B14316">
        <w:t>Key Points</w:t>
      </w:r>
    </w:p>
    <w:p w:rsidR="00CE16ED" w:rsidRPr="00B14316" w:rsidRDefault="00CE16ED" w:rsidP="00CE16ED">
      <w:pPr>
        <w:pStyle w:val="body-paragraph"/>
        <w:spacing w:before="0" w:beforeAutospacing="0" w:after="0" w:afterAutospacing="0"/>
        <w:textAlignment w:val="baseline"/>
      </w:pPr>
      <w:r w:rsidRPr="00B14316">
        <w:t>When working with children, issues of privacy, confidentiality, and legal privilege can be challenging due to competing interests of parents and children, as well as other stakeholders.</w:t>
      </w:r>
    </w:p>
    <w:p w:rsidR="00CE16ED" w:rsidRPr="00B14316" w:rsidRDefault="00CE16ED" w:rsidP="00CE16ED">
      <w:pPr>
        <w:pStyle w:val="body-paragraph"/>
        <w:spacing w:before="0" w:beforeAutospacing="0" w:after="0" w:afterAutospacing="0"/>
        <w:textAlignment w:val="baseline"/>
      </w:pPr>
      <w:r w:rsidRPr="00B14316">
        <w:t xml:space="preserve">When records are subpoenaed, counsellors must be </w:t>
      </w:r>
      <w:r w:rsidR="00B14316" w:rsidRPr="00B14316">
        <w:t>cognizant</w:t>
      </w:r>
      <w:r w:rsidRPr="00B14316">
        <w:t xml:space="preserve"> of legal and ethical threats to confidentiality, and respond appropriately in ways that are in the best interests of young clients.</w:t>
      </w:r>
    </w:p>
    <w:p w:rsidR="00CE16ED" w:rsidRPr="00B14316" w:rsidRDefault="00CE16ED" w:rsidP="00CE16ED">
      <w:pPr>
        <w:pStyle w:val="body-paragraph"/>
        <w:spacing w:before="0" w:beforeAutospacing="0" w:after="0" w:afterAutospacing="0"/>
        <w:textAlignment w:val="baseline"/>
      </w:pPr>
      <w:r w:rsidRPr="00B14316">
        <w:t>There are numerous considerations which counsellors should consider before sharing information with parents, which could impact the course of therapy.</w:t>
      </w:r>
    </w:p>
    <w:p w:rsidR="00CE16ED" w:rsidRPr="00B14316" w:rsidRDefault="00CE16ED" w:rsidP="00CE16ED">
      <w:pPr>
        <w:pStyle w:val="body-paragraph"/>
        <w:spacing w:before="0" w:beforeAutospacing="0" w:after="0" w:afterAutospacing="0"/>
        <w:textAlignment w:val="baseline"/>
      </w:pPr>
      <w:r w:rsidRPr="00B14316">
        <w:t>Family counsellors need to understand laws and ethical codes in getting informed consent to treat minors.</w:t>
      </w:r>
    </w:p>
    <w:p w:rsidR="00CE16ED" w:rsidRPr="00B14316" w:rsidRDefault="00CE16ED" w:rsidP="00CE16ED">
      <w:pPr>
        <w:pStyle w:val="body-paragraph"/>
        <w:spacing w:before="0" w:beforeAutospacing="0" w:after="0" w:afterAutospacing="0"/>
        <w:textAlignment w:val="baseline"/>
      </w:pPr>
      <w:r w:rsidRPr="00B14316">
        <w:t>Special ethical issues in treating families with children include how to work with children of divorce, level of competency, multicultural considerations, and the use of touch.</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14" w:anchor="toc" w:tooltip="The Intertwining of Ethical and Legal Issues with Child Counselling" w:history="1">
        <w:r w:rsidRPr="00B14316">
          <w:rPr>
            <w:rStyle w:val="Hyperlink"/>
            <w:rFonts w:ascii="Times New Roman" w:hAnsi="Times New Roman" w:cs="Times New Roman"/>
            <w:color w:val="005BC6"/>
            <w:sz w:val="24"/>
            <w:szCs w:val="24"/>
            <w:bdr w:val="none" w:sz="0" w:space="0" w:color="auto" w:frame="1"/>
          </w:rPr>
          <w:t>The Intertwining of Ethical and Legal Issues with Child Counselling</w:t>
        </w:r>
      </w:hyperlink>
    </w:p>
    <w:p w:rsidR="00CE16ED" w:rsidRPr="00B14316" w:rsidRDefault="00CE16ED" w:rsidP="00CE16ED">
      <w:pPr>
        <w:pStyle w:val="body-paragraph"/>
        <w:spacing w:before="0" w:beforeAutospacing="0" w:after="0" w:afterAutospacing="0"/>
        <w:textAlignment w:val="baseline"/>
      </w:pPr>
      <w:r w:rsidRPr="00B14316">
        <w:t xml:space="preserve">There has been little guidance in mental health literature about ethical issues that may arise in counselling minors outside a school setting. Even popular ethics textbooks mention issues related to treating minors only briefly, with the exception of breaking confidentiality to report child </w:t>
      </w:r>
      <w:r w:rsidRPr="00B14316">
        <w:lastRenderedPageBreak/>
        <w:t xml:space="preserve">abuse (Lawrence &amp; </w:t>
      </w:r>
      <w:proofErr w:type="spellStart"/>
      <w:r w:rsidRPr="00B14316">
        <w:t>Kurpius</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"bib19" \o "19" </w:instrText>
      </w:r>
      <w:r w:rsidRPr="00B14316">
        <w:fldChar w:fldCharType="separate"/>
      </w:r>
      <w:r w:rsidRPr="00B14316">
        <w:rPr>
          <w:rStyle w:val="Hyperlink"/>
          <w:color w:val="005BC6"/>
          <w:bdr w:val="none" w:sz="0" w:space="0" w:color="auto" w:frame="1"/>
        </w:rPr>
        <w:t>19</w:t>
      </w:r>
      <w:r w:rsidRPr="00B14316">
        <w:fldChar w:fldCharType="end"/>
      </w:r>
      <w:r w:rsidRPr="00B14316">
        <w:t>] ). Yet the potential legal and ethical issues when treating children in families are numerous. Common concerns relating to child treatment include the child's right to confidentiality, informed consent, children and divorce, the use of touch, counsellor competency, and multicultural issues.</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15" w:anchor="toc" w:tooltip="Privacy, confidentiality, and privileged communication" w:history="1">
        <w:r w:rsidRPr="00B14316">
          <w:rPr>
            <w:rStyle w:val="Hyperlink"/>
            <w:rFonts w:ascii="Times New Roman" w:hAnsi="Times New Roman" w:cs="Times New Roman"/>
            <w:color w:val="005BC6"/>
            <w:sz w:val="24"/>
            <w:szCs w:val="24"/>
            <w:bdr w:val="none" w:sz="0" w:space="0" w:color="auto" w:frame="1"/>
          </w:rPr>
          <w:t>Privacy, confidentiality, and privileged communication</w:t>
        </w:r>
      </w:hyperlink>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16" w:anchor="toc" w:tooltip="Privacy" w:history="1">
        <w:r w:rsidRPr="00B14316">
          <w:rPr>
            <w:rStyle w:val="Hyperlink"/>
            <w:rFonts w:ascii="Times New Roman" w:hAnsi="Times New Roman" w:cs="Times New Roman"/>
            <w:color w:val="005BC6"/>
            <w:sz w:val="24"/>
            <w:szCs w:val="24"/>
            <w:bdr w:val="none" w:sz="0" w:space="0" w:color="auto" w:frame="1"/>
          </w:rPr>
          <w:t>Privacy</w:t>
        </w:r>
      </w:hyperlink>
    </w:p>
    <w:p w:rsidR="00CE16ED" w:rsidRPr="00B14316" w:rsidRDefault="00CE16ED" w:rsidP="00CE16ED">
      <w:pPr>
        <w:pStyle w:val="body-paragraph"/>
        <w:spacing w:before="0" w:beforeAutospacing="0" w:after="0" w:afterAutospacing="0"/>
        <w:textAlignment w:val="baseline"/>
      </w:pPr>
      <w:r w:rsidRPr="00B14316">
        <w:t xml:space="preserve">Privacy refers to clients’ right to choose who has access to information about them (Thompson &amp;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 Legally, parents of minors typically make all privacy‐related decisions for them. This includes signing consent, releases of information, and access to medical and psychotherapy records. Decisions about protecting children's privacy and confidentiality in counselling must be examined from both legal and ethical lenses.</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17" w:anchor="toc" w:tooltip="Confidentiality" w:history="1">
        <w:r w:rsidRPr="00B14316">
          <w:rPr>
            <w:rStyle w:val="Hyperlink"/>
            <w:rFonts w:ascii="Times New Roman" w:hAnsi="Times New Roman" w:cs="Times New Roman"/>
            <w:color w:val="005BC6"/>
            <w:sz w:val="24"/>
            <w:szCs w:val="24"/>
            <w:bdr w:val="none" w:sz="0" w:space="0" w:color="auto" w:frame="1"/>
          </w:rPr>
          <w:t>Confidentiality</w:t>
        </w:r>
      </w:hyperlink>
    </w:p>
    <w:p w:rsidR="00CE16ED" w:rsidRPr="00B14316" w:rsidRDefault="00CE16ED" w:rsidP="00CE16ED">
      <w:pPr>
        <w:pStyle w:val="body-paragraph"/>
        <w:spacing w:before="0" w:beforeAutospacing="0" w:after="0" w:afterAutospacing="0"/>
        <w:textAlignment w:val="baseline"/>
      </w:pPr>
      <w:r w:rsidRPr="00B14316">
        <w:t xml:space="preserve">The foundation on which counselling is built lies in the ethical obligation to keep information learned in counselling private from others. All codes of ethics in the mental health professions address confidentiality. Clinicians should not share any information with others without </w:t>
      </w:r>
      <w:proofErr w:type="spellStart"/>
      <w:r w:rsidRPr="00B14316">
        <w:t>authorisation</w:t>
      </w:r>
      <w:proofErr w:type="spellEnd"/>
      <w:r w:rsidRPr="00B14316">
        <w:t xml:space="preserve"> in the form of a written release signed by the client(s). What to include in releases is typically dictated by state mental health statutes. In addition, there are limitations to confidentiality dictated by state law, professional ethical codes, common law, and case law (Bartlett,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xml:space="preserve">] ). However, laws are open to interpretation, so one must use careful judgment in making ethical decisions, especially about breaching confidentiality (Thompson &amp;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 Access to an attorney familiar with mental health law is a wise investment.</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18" w:anchor="toc" w:tooltip="Privilege" w:history="1">
        <w:r w:rsidRPr="00B14316">
          <w:rPr>
            <w:rStyle w:val="Hyperlink"/>
            <w:rFonts w:ascii="Times New Roman" w:hAnsi="Times New Roman" w:cs="Times New Roman"/>
            <w:color w:val="005BC6"/>
            <w:sz w:val="24"/>
            <w:szCs w:val="24"/>
            <w:bdr w:val="none" w:sz="0" w:space="0" w:color="auto" w:frame="1"/>
          </w:rPr>
          <w:t>Privilege</w:t>
        </w:r>
      </w:hyperlink>
    </w:p>
    <w:p w:rsidR="00CE16ED" w:rsidRPr="00B14316" w:rsidRDefault="00CE16ED" w:rsidP="00CE16ED">
      <w:pPr>
        <w:pStyle w:val="body-paragraph"/>
        <w:spacing w:before="0" w:beforeAutospacing="0" w:after="0" w:afterAutospacing="0"/>
        <w:textAlignment w:val="baseline"/>
      </w:pPr>
      <w:r w:rsidRPr="00B14316">
        <w:t xml:space="preserve">Privilege is the legal right owned by the client and protecting them from having their private therapy information divulged in judicial proceedings. Privilege is established by state statutes. Not all clients hold privilege; it depends upon the type of mental health discipline that is covered in state law. Some states allow privilege to adolescents at the age of 16 for specific issues (Reid,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"bib26" \o "26" </w:instrText>
      </w:r>
      <w:r w:rsidRPr="00B14316">
        <w:fldChar w:fldCharType="separate"/>
      </w:r>
      <w:r w:rsidRPr="00B14316">
        <w:rPr>
          <w:rStyle w:val="Hyperlink"/>
          <w:color w:val="005BC6"/>
          <w:bdr w:val="none" w:sz="0" w:space="0" w:color="auto" w:frame="1"/>
        </w:rPr>
        <w:t>26</w:t>
      </w:r>
      <w:r w:rsidRPr="00B14316">
        <w:fldChar w:fldCharType="end"/>
      </w:r>
      <w:r w:rsidRPr="00B14316">
        <w:t>] ). The legal right to privileged communication can only be waived by the client, although in the process of legal discovery (e.g., in child custody cases), attorneys often subpoena counsellors or their records. Unless the client (or potentially the client's parent or legal guardian) has waived privilege, the counsellor is obligated to appeal to the court to uphold state statute and keep the counselling information confidential.</w:t>
      </w:r>
    </w:p>
    <w:p w:rsidR="00CE16ED" w:rsidRPr="00B14316" w:rsidRDefault="00CE16ED" w:rsidP="00CE16ED">
      <w:pPr>
        <w:pStyle w:val="body-paragraph"/>
        <w:spacing w:before="0" w:beforeAutospacing="0" w:after="0" w:afterAutospacing="0"/>
        <w:textAlignment w:val="baseline"/>
      </w:pPr>
      <w:r w:rsidRPr="00B14316">
        <w:t xml:space="preserve">There are legally prescribed conditions for which the counsellor is not subject to prosecution for withholding information needed by the court in litigation (Bartlett,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 State laws typically allow exceptions to privilege which may include client consent; treatment emergencies; duty to warn; duty to protect (see below); if the counsellor is sued for malpractice; mandatory report statutes (child abuse, elder abuse, disabled adult abuse); if a counsellor seeks a restraining order against a former client; or when a client's mental health status is in the legal forum (e.g., child custody cases, civil commitment hearings, competency to stand trial, or civil cases in which the plaintiff claims injury and a judge compels testimony).</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19" w:anchor="toc" w:tooltip="Confidentiality When Working with Minor Children" w:history="1">
        <w:r w:rsidRPr="00B14316">
          <w:rPr>
            <w:rStyle w:val="Hyperlink"/>
            <w:rFonts w:ascii="Times New Roman" w:hAnsi="Times New Roman" w:cs="Times New Roman"/>
            <w:color w:val="005BC6"/>
            <w:sz w:val="24"/>
            <w:szCs w:val="24"/>
            <w:bdr w:val="none" w:sz="0" w:space="0" w:color="auto" w:frame="1"/>
          </w:rPr>
          <w:t>Confidentiality When Working with Minor Children</w:t>
        </w:r>
      </w:hyperlink>
    </w:p>
    <w:p w:rsidR="00CE16ED" w:rsidRPr="00B14316" w:rsidRDefault="00CE16ED" w:rsidP="00CE16ED">
      <w:pPr>
        <w:pStyle w:val="body-paragraph"/>
        <w:spacing w:before="0" w:beforeAutospacing="0" w:after="0" w:afterAutospacing="0"/>
        <w:textAlignment w:val="baseline"/>
      </w:pPr>
      <w:r w:rsidRPr="00B14316">
        <w:t xml:space="preserve">One of the most confounding ethical issues that counsellors face when seeing children is what and how much information to share with parents (Lawrence &amp; </w:t>
      </w:r>
      <w:proofErr w:type="spellStart"/>
      <w:r w:rsidRPr="00B14316">
        <w:t>Kurpius</w:t>
      </w:r>
      <w:proofErr w:type="spellEnd"/>
      <w:r w:rsidRPr="00B14316">
        <w:t>, [ </w:t>
      </w:r>
      <w:hyperlink r:id="rId20" w:anchor="bib19" w:tooltip="19" w:history="1">
        <w:r w:rsidRPr="00B14316">
          <w:rPr>
            <w:rStyle w:val="Hyperlink"/>
            <w:color w:val="005BC6"/>
            <w:bdr w:val="none" w:sz="0" w:space="0" w:color="auto" w:frame="1"/>
          </w:rPr>
          <w:t>19</w:t>
        </w:r>
      </w:hyperlink>
      <w:r w:rsidRPr="00B14316">
        <w:t>] ; McCurdy &amp; Murray, [ </w:t>
      </w:r>
      <w:hyperlink r:id="rId21" w:anchor="bib22" w:tooltip="22" w:history="1">
        <w:r w:rsidRPr="00B14316">
          <w:rPr>
            <w:rStyle w:val="Hyperlink"/>
            <w:color w:val="005BC6"/>
            <w:bdr w:val="none" w:sz="0" w:space="0" w:color="auto" w:frame="1"/>
          </w:rPr>
          <w:t>22</w:t>
        </w:r>
      </w:hyperlink>
      <w:r w:rsidRPr="00B14316">
        <w:t>] ; Thompson &amp; Rudolph, [ </w:t>
      </w:r>
      <w:hyperlink r:id="rId22" w:anchor="bib38" w:tooltip="38" w:history="1">
        <w:r w:rsidRPr="00B14316">
          <w:rPr>
            <w:rStyle w:val="Hyperlink"/>
            <w:color w:val="005BC6"/>
            <w:bdr w:val="none" w:sz="0" w:space="0" w:color="auto" w:frame="1"/>
          </w:rPr>
          <w:t>38</w:t>
        </w:r>
      </w:hyperlink>
      <w:r w:rsidRPr="00B14316">
        <w:t xml:space="preserve">] ). For most counselling issues, parents have the legal right to know what occurs during their child's counselling (Corey, Corey, &amp; </w:t>
      </w:r>
      <w:proofErr w:type="spellStart"/>
      <w:r w:rsidRPr="00B14316">
        <w:t>Callanan</w:t>
      </w:r>
      <w:proofErr w:type="spellEnd"/>
      <w:r w:rsidRPr="00B14316">
        <w:t>, [ </w:t>
      </w:r>
      <w:hyperlink r:id="rId23" w:anchor="bib8" w:tooltip="8" w:history="1">
        <w:r w:rsidRPr="00B14316">
          <w:rPr>
            <w:rStyle w:val="Hyperlink"/>
            <w:color w:val="005BC6"/>
            <w:bdr w:val="none" w:sz="0" w:space="0" w:color="auto" w:frame="1"/>
          </w:rPr>
          <w:t>8</w:t>
        </w:r>
      </w:hyperlink>
      <w:r w:rsidRPr="00B14316">
        <w:t xml:space="preserve">] ; Lawrence &amp; </w:t>
      </w:r>
      <w:proofErr w:type="spellStart"/>
      <w:r w:rsidRPr="00B14316">
        <w:t>Kurpius</w:t>
      </w:r>
      <w:proofErr w:type="spellEnd"/>
      <w:r w:rsidRPr="00B14316">
        <w:t>, [ </w:t>
      </w:r>
      <w:hyperlink r:id="rId24" w:anchor="bib19" w:tooltip="19" w:history="1">
        <w:r w:rsidRPr="00B14316">
          <w:rPr>
            <w:rStyle w:val="Hyperlink"/>
            <w:color w:val="005BC6"/>
            <w:bdr w:val="none" w:sz="0" w:space="0" w:color="auto" w:frame="1"/>
          </w:rPr>
          <w:t>19</w:t>
        </w:r>
      </w:hyperlink>
      <w:r w:rsidRPr="00B14316">
        <w:t xml:space="preserve">] ), though the degree of this right varies from state to state. Ethically, however, many believe minors should be guaranteed the same confidentiality as is promised to </w:t>
      </w:r>
      <w:r w:rsidRPr="00B14316">
        <w:lastRenderedPageBreak/>
        <w:t xml:space="preserve">adults (Hendrix,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"bib14" \o "14" </w:instrText>
      </w:r>
      <w:r w:rsidRPr="00B14316">
        <w:fldChar w:fldCharType="separate"/>
      </w:r>
      <w:r w:rsidRPr="00B14316">
        <w:rPr>
          <w:rStyle w:val="Hyperlink"/>
          <w:color w:val="005BC6"/>
          <w:bdr w:val="none" w:sz="0" w:space="0" w:color="auto" w:frame="1"/>
        </w:rPr>
        <w:t>14</w:t>
      </w:r>
      <w:r w:rsidRPr="00B14316">
        <w:fldChar w:fldCharType="end"/>
      </w:r>
      <w:r w:rsidRPr="00B14316">
        <w:t xml:space="preserve">] ). The setting in which counselling occurs may also influence issues of confidentiality (Taylor &amp; Adelman,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"bib36" \o "36" </w:instrText>
      </w:r>
      <w:r w:rsidRPr="00B14316">
        <w:fldChar w:fldCharType="separate"/>
      </w:r>
      <w:r w:rsidRPr="00B14316">
        <w:rPr>
          <w:rStyle w:val="Hyperlink"/>
          <w:color w:val="005BC6"/>
          <w:bdr w:val="none" w:sz="0" w:space="0" w:color="auto" w:frame="1"/>
        </w:rPr>
        <w:t>36</w:t>
      </w:r>
      <w:r w:rsidRPr="00B14316">
        <w:fldChar w:fldCharType="end"/>
      </w:r>
      <w:r w:rsidRPr="00B14316">
        <w:t>] ). For example, school counsellors may not have to disclose the content of individual sessions with minor children to parents, according to the Federal Education Rights and Privacy Act of 1994 (Corey et al., [ </w:t>
      </w:r>
      <w:hyperlink r:id="rId25" w:anchor="bib8" w:tooltip="8" w:history="1">
        <w:r w:rsidRPr="00B14316">
          <w:rPr>
            <w:rStyle w:val="Hyperlink"/>
            <w:color w:val="005BC6"/>
            <w:bdr w:val="none" w:sz="0" w:space="0" w:color="auto" w:frame="1"/>
          </w:rPr>
          <w:t>8</w:t>
        </w:r>
      </w:hyperlink>
      <w:r w:rsidRPr="00B14316">
        <w:t>] ). In states that allow mature minors to access treatment, counsellors still have an obligation to notify parents or guardians when it is in the best interests of the minor (Roberts &amp; Dyer, [ </w:t>
      </w:r>
      <w:hyperlink r:id="rId26" w:anchor="bib27" w:tooltip="27" w:history="1">
        <w:r w:rsidRPr="00B14316">
          <w:rPr>
            <w:rStyle w:val="Hyperlink"/>
            <w:color w:val="005BC6"/>
            <w:bdr w:val="none" w:sz="0" w:space="0" w:color="auto" w:frame="1"/>
          </w:rPr>
          <w:t>27</w:t>
        </w:r>
      </w:hyperlink>
      <w:r w:rsidRPr="00B14316">
        <w:t xml:space="preserve">] ). In some situations, even though minors are legally able to access therapy for mental health treatment, they may not possess the right to </w:t>
      </w:r>
      <w:proofErr w:type="spellStart"/>
      <w:r w:rsidRPr="00B14316">
        <w:t>authorise</w:t>
      </w:r>
      <w:proofErr w:type="spellEnd"/>
      <w:r w:rsidRPr="00B14316">
        <w:t xml:space="preserve"> the release of information to third parties. In states where parents also have access to case records, in many situations providers can limit what is divulged to the parent if the information would be harmful to the child if disclosed (Roberts &amp; Dyer, [ </w:t>
      </w:r>
      <w:hyperlink r:id="rId27" w:anchor="bib27" w:tooltip="27" w:history="1">
        <w:r w:rsidRPr="00B14316">
          <w:rPr>
            <w:rStyle w:val="Hyperlink"/>
            <w:color w:val="005BC6"/>
            <w:bdr w:val="none" w:sz="0" w:space="0" w:color="auto" w:frame="1"/>
          </w:rPr>
          <w:t>27</w:t>
        </w:r>
      </w:hyperlink>
      <w:r w:rsidRPr="00B14316">
        <w:t>] ).</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28" w:anchor="toc" w:tooltip="Breaching confidentiality: Duty to protect, reporting issues of abuse and neglect" w:history="1">
        <w:r w:rsidRPr="00B14316">
          <w:rPr>
            <w:rStyle w:val="Hyperlink"/>
            <w:rFonts w:ascii="Times New Roman" w:hAnsi="Times New Roman" w:cs="Times New Roman"/>
            <w:color w:val="005BC6"/>
            <w:sz w:val="24"/>
            <w:szCs w:val="24"/>
            <w:bdr w:val="none" w:sz="0" w:space="0" w:color="auto" w:frame="1"/>
          </w:rPr>
          <w:t>Breaching confidentiality: Duty to protect, reporting issues of abuse and neglect</w:t>
        </w:r>
      </w:hyperlink>
    </w:p>
    <w:p w:rsidR="00CE16ED" w:rsidRPr="00B14316" w:rsidRDefault="00CE16ED" w:rsidP="00CE16ED">
      <w:pPr>
        <w:pStyle w:val="body-paragraph"/>
        <w:spacing w:before="0" w:beforeAutospacing="0" w:after="0" w:afterAutospacing="0"/>
        <w:textAlignment w:val="baseline"/>
      </w:pPr>
      <w:r w:rsidRPr="00B14316">
        <w:t>Counsellors often must breach confidentiality when mandated by law to act as an agent of social control. Confidentiality must be broken when there are threats of harm to oneself, threats of harm to another, or when it is learned (or in some states merely suspected) that a child or elder is a victim of abuse or neglect.</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29" w:anchor="toc" w:tooltip="Harm to self" w:history="1">
        <w:r w:rsidRPr="00B14316">
          <w:rPr>
            <w:rStyle w:val="Hyperlink"/>
            <w:rFonts w:ascii="Times New Roman" w:hAnsi="Times New Roman" w:cs="Times New Roman"/>
            <w:color w:val="005BC6"/>
            <w:sz w:val="24"/>
            <w:szCs w:val="24"/>
            <w:bdr w:val="none" w:sz="0" w:space="0" w:color="auto" w:frame="1"/>
          </w:rPr>
          <w:t>Harm to self</w:t>
        </w:r>
      </w:hyperlink>
    </w:p>
    <w:p w:rsidR="00CE16ED" w:rsidRPr="00B14316" w:rsidRDefault="00CE16ED" w:rsidP="00CE16ED">
      <w:pPr>
        <w:pStyle w:val="body-paragraph"/>
        <w:spacing w:before="0" w:beforeAutospacing="0" w:after="0" w:afterAutospacing="0"/>
        <w:textAlignment w:val="baseline"/>
      </w:pPr>
      <w:r w:rsidRPr="00B14316">
        <w:t xml:space="preserve">Any child or adolescent who may be at risk for depression should be interviewed to ascertain if they have any suicidal thoughts, have a plan to harm </w:t>
      </w:r>
      <w:proofErr w:type="gramStart"/>
      <w:r w:rsidRPr="00B14316">
        <w:t>themselves</w:t>
      </w:r>
      <w:proofErr w:type="gramEnd"/>
      <w:r w:rsidRPr="00B14316">
        <w:t>, and have the means to carry out such a plan. The counsellor has a duty to inform parents of the child's suicidal thoughts or intent, and to work with them to take appropriate action. This may include having the child assessed at a hospital, having family members maintain a 24‐hour suicide watch to ensure the safety of the child, or a referral to a psychiatrist for an evaluation for the possible use of medication. Care should be taken to document steps taken to protect the child, and clinicians are advised to consult with other professionals to be sure appropriate treatment is undertaken.</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30" w:anchor="toc" w:tooltip="Harm to another" w:history="1">
        <w:r w:rsidRPr="00B14316">
          <w:rPr>
            <w:rStyle w:val="Hyperlink"/>
            <w:rFonts w:ascii="Times New Roman" w:hAnsi="Times New Roman" w:cs="Times New Roman"/>
            <w:color w:val="005BC6"/>
            <w:sz w:val="24"/>
            <w:szCs w:val="24"/>
            <w:bdr w:val="none" w:sz="0" w:space="0" w:color="auto" w:frame="1"/>
          </w:rPr>
          <w:t>Harm to another</w:t>
        </w:r>
      </w:hyperlink>
    </w:p>
    <w:p w:rsidR="00CE16ED" w:rsidRPr="00B14316" w:rsidRDefault="00CE16ED" w:rsidP="00CE16ED">
      <w:pPr>
        <w:pStyle w:val="body-paragraph"/>
        <w:spacing w:before="0" w:beforeAutospacing="0" w:after="0" w:afterAutospacing="0"/>
        <w:textAlignment w:val="baseline"/>
      </w:pPr>
      <w:r w:rsidRPr="00B14316">
        <w:t xml:space="preserve">The landmark case of </w:t>
      </w:r>
      <w:proofErr w:type="spellStart"/>
      <w:r w:rsidRPr="00B14316">
        <w:t>Tarasoff</w:t>
      </w:r>
      <w:proofErr w:type="spellEnd"/>
      <w:r w:rsidRPr="00B14316">
        <w:t xml:space="preserve"> v. Board of Regents of University of California forever changed the landscape of counselling confidentiality. In 1968, the counsellor in this case notified the campus police at University of California that his client, </w:t>
      </w:r>
      <w:proofErr w:type="spellStart"/>
      <w:r w:rsidRPr="00B14316">
        <w:t>Prosenjit</w:t>
      </w:r>
      <w:proofErr w:type="spellEnd"/>
      <w:r w:rsidRPr="00B14316">
        <w:t xml:space="preserve"> </w:t>
      </w:r>
      <w:proofErr w:type="spellStart"/>
      <w:r w:rsidRPr="00B14316">
        <w:t>Poddar</w:t>
      </w:r>
      <w:proofErr w:type="spellEnd"/>
      <w:r w:rsidRPr="00B14316">
        <w:t xml:space="preserve">, had threatened to kill another student, Tatiana </w:t>
      </w:r>
      <w:proofErr w:type="spellStart"/>
      <w:r w:rsidRPr="00B14316">
        <w:t>Tarasoff</w:t>
      </w:r>
      <w:proofErr w:type="spellEnd"/>
      <w:r w:rsidRPr="00B14316">
        <w:t xml:space="preserve">. Although she was not named, she was ‘readily identifiable.’ The police warned </w:t>
      </w:r>
      <w:proofErr w:type="spellStart"/>
      <w:r w:rsidRPr="00B14316">
        <w:t>Poddar</w:t>
      </w:r>
      <w:proofErr w:type="spellEnd"/>
      <w:r w:rsidRPr="00B14316">
        <w:t xml:space="preserve"> to stay away from </w:t>
      </w:r>
      <w:proofErr w:type="spellStart"/>
      <w:r w:rsidRPr="00B14316">
        <w:t>Tarasoff</w:t>
      </w:r>
      <w:proofErr w:type="spellEnd"/>
      <w:r w:rsidRPr="00B14316">
        <w:t xml:space="preserve">, and proceedings to have </w:t>
      </w:r>
      <w:proofErr w:type="spellStart"/>
      <w:r w:rsidRPr="00B14316">
        <w:t>Poddar</w:t>
      </w:r>
      <w:proofErr w:type="spellEnd"/>
      <w:r w:rsidRPr="00B14316">
        <w:t xml:space="preserve"> evaluated by a psychiatrist were initiated. Meanwhile, </w:t>
      </w:r>
      <w:proofErr w:type="spellStart"/>
      <w:r w:rsidRPr="00B14316">
        <w:t>Tarasoff</w:t>
      </w:r>
      <w:proofErr w:type="spellEnd"/>
      <w:r w:rsidRPr="00B14316">
        <w:t xml:space="preserve"> was given no warning regarding the danger to her life. Subsequently, </w:t>
      </w:r>
      <w:proofErr w:type="spellStart"/>
      <w:r w:rsidRPr="00B14316">
        <w:t>Poddar</w:t>
      </w:r>
      <w:proofErr w:type="spellEnd"/>
      <w:r w:rsidRPr="00B14316">
        <w:t xml:space="preserve"> stabbed and killed </w:t>
      </w:r>
      <w:proofErr w:type="spellStart"/>
      <w:r w:rsidRPr="00B14316">
        <w:t>Tarasoff</w:t>
      </w:r>
      <w:proofErr w:type="spellEnd"/>
      <w:r w:rsidRPr="00B14316">
        <w:t xml:space="preserve">, and her parents filed suit against the university for not confining </w:t>
      </w:r>
      <w:proofErr w:type="spellStart"/>
      <w:r w:rsidRPr="00B14316">
        <w:t>Poddar</w:t>
      </w:r>
      <w:proofErr w:type="spellEnd"/>
      <w:r w:rsidRPr="00B14316">
        <w:t xml:space="preserve"> and for not warning </w:t>
      </w:r>
      <w:proofErr w:type="spellStart"/>
      <w:r w:rsidRPr="00B14316">
        <w:t>Tarasoff</w:t>
      </w:r>
      <w:proofErr w:type="spellEnd"/>
      <w:r w:rsidRPr="00B14316">
        <w:t xml:space="preserve"> of the threat against her life.</w:t>
      </w:r>
    </w:p>
    <w:p w:rsidR="00CE16ED" w:rsidRPr="00B14316" w:rsidRDefault="00CE16ED" w:rsidP="00CE16ED">
      <w:pPr>
        <w:pStyle w:val="body-paragraph"/>
        <w:spacing w:before="0" w:beforeAutospacing="0" w:after="0" w:afterAutospacing="0"/>
        <w:textAlignment w:val="baseline"/>
      </w:pPr>
      <w:r w:rsidRPr="00B14316">
        <w:t>This case gave rise to what is commonly known today as a counsellor's duty to warn (sometimes also known as duty to protect). Duty to warn occurs when the following three conditions are met (</w:t>
      </w:r>
      <w:proofErr w:type="spellStart"/>
      <w:r w:rsidRPr="00B14316">
        <w:t>Tarasoff</w:t>
      </w:r>
      <w:proofErr w:type="spellEnd"/>
      <w:r w:rsidRPr="00B14316">
        <w:t xml:space="preserve"> v. Board of Regents of University of California, [ </w:t>
      </w:r>
      <w:hyperlink r:id="rId31" w:anchor="bib35" w:tooltip="35" w:history="1">
        <w:r w:rsidRPr="00B14316">
          <w:rPr>
            <w:rStyle w:val="Hyperlink"/>
            <w:color w:val="005BC6"/>
            <w:bdr w:val="none" w:sz="0" w:space="0" w:color="auto" w:frame="1"/>
          </w:rPr>
          <w:t>35</w:t>
        </w:r>
      </w:hyperlink>
      <w:r w:rsidRPr="00B14316">
        <w:t>] , p. 346): ( </w:t>
      </w:r>
      <w:hyperlink r:id="rId32" w:anchor="bib1" w:tooltip="1" w:history="1">
        <w:r w:rsidRPr="00B14316">
          <w:rPr>
            <w:rStyle w:val="Hyperlink"/>
            <w:color w:val="005BC6"/>
            <w:bdr w:val="none" w:sz="0" w:space="0" w:color="auto" w:frame="1"/>
          </w:rPr>
          <w:t>1</w:t>
        </w:r>
      </w:hyperlink>
      <w:r w:rsidRPr="00B14316">
        <w:t xml:space="preserve">) Likelihood of harm. The counsellor has established that there is likelihood that the client will cause physical harm, and believes the client is a threat. Some states have statutes requiring that a threat actually be communicated; most do not.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 \o "2" </w:instrText>
      </w:r>
      <w:r w:rsidRPr="00B14316">
        <w:fldChar w:fldCharType="separate"/>
      </w:r>
      <w:r w:rsidRPr="00B14316">
        <w:rPr>
          <w:rStyle w:val="Hyperlink"/>
          <w:color w:val="005BC6"/>
          <w:bdr w:val="none" w:sz="0" w:space="0" w:color="auto" w:frame="1"/>
        </w:rPr>
        <w:t>2</w:t>
      </w:r>
      <w:r w:rsidRPr="00B14316">
        <w:fldChar w:fldCharType="end"/>
      </w:r>
      <w:r w:rsidRPr="00B14316">
        <w:t xml:space="preserve">) A ‘special’ relationship exists. Generally a person does not have a duty to control the conduct of another, but counsellors have a special obligation due to the nature of their profession.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There is a foreseeable victim. (Some states have broadened this condition to include unknown victims.)</w:t>
      </w:r>
    </w:p>
    <w:p w:rsidR="00CE16ED" w:rsidRPr="00B14316" w:rsidRDefault="00CE16ED" w:rsidP="00CE16ED">
      <w:pPr>
        <w:pStyle w:val="body-paragraph"/>
        <w:spacing w:before="0" w:beforeAutospacing="0" w:after="0" w:afterAutospacing="0"/>
        <w:textAlignment w:val="baseline"/>
      </w:pPr>
      <w:r w:rsidRPr="00B14316">
        <w:t xml:space="preserve">Counsellors must take reasonable steps to satisfy the duty to warn, which always includes warning the intended victim. Counsellors may also notify local law enforcement agencies, contact relatives or friends who can apprise the potential victim of danger at hand, or initiate voluntary or involuntary commitment. The failure to warn an individual of a potential threat </w:t>
      </w:r>
      <w:r w:rsidRPr="00B14316">
        <w:lastRenderedPageBreak/>
        <w:t xml:space="preserve">against his or her life may result in an ethical violation (Thompson &amp;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 and is legally actionable.</w:t>
      </w:r>
    </w:p>
    <w:p w:rsidR="00CE16ED" w:rsidRPr="00B14316" w:rsidRDefault="00CE16ED" w:rsidP="00CE16ED">
      <w:pPr>
        <w:pStyle w:val="body-paragraph"/>
        <w:spacing w:before="0" w:beforeAutospacing="0" w:after="0" w:afterAutospacing="0"/>
        <w:textAlignment w:val="baseline"/>
      </w:pPr>
      <w:r w:rsidRPr="00B14316">
        <w:t xml:space="preserve">A more unique aspect of duty to warn arises with issues related to human immunodeficiency virus (HIV) (McCarthy &amp; Sorenson,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"bib21" \o "21" </w:instrText>
      </w:r>
      <w:r w:rsidRPr="00B14316">
        <w:fldChar w:fldCharType="separate"/>
      </w:r>
      <w:r w:rsidRPr="00B14316">
        <w:rPr>
          <w:rStyle w:val="Hyperlink"/>
          <w:color w:val="005BC6"/>
          <w:bdr w:val="none" w:sz="0" w:space="0" w:color="auto" w:frame="1"/>
        </w:rPr>
        <w:t>21</w:t>
      </w:r>
      <w:r w:rsidRPr="00B14316">
        <w:fldChar w:fldCharType="end"/>
      </w:r>
      <w:r w:rsidRPr="00B14316">
        <w:t>] ). While the ethical codes of mental health professionals deal with duty to warn, HIV leads to a grey area in breaching confidentiality. Only the ethics code of the American Counseling Association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 \o "2" </w:instrText>
      </w:r>
      <w:r w:rsidRPr="00B14316">
        <w:fldChar w:fldCharType="separate"/>
      </w:r>
      <w:r w:rsidRPr="00B14316">
        <w:rPr>
          <w:rStyle w:val="Hyperlink"/>
          <w:color w:val="005BC6"/>
          <w:bdr w:val="none" w:sz="0" w:space="0" w:color="auto" w:frame="1"/>
        </w:rPr>
        <w:t>2</w:t>
      </w:r>
      <w:r w:rsidRPr="00B14316">
        <w:fldChar w:fldCharType="end"/>
      </w:r>
      <w:r w:rsidRPr="00B14316">
        <w:t xml:space="preserve">] ) directly addresses breaching confidentiality in regard to communicable, contagious, and fatal diseases. Even so, with the advanced pharmacology available today, one could argue HIV is no longer a fatal disease. Counsellors must </w:t>
      </w:r>
      <w:proofErr w:type="spellStart"/>
      <w:r w:rsidRPr="00B14316">
        <w:t>analyse</w:t>
      </w:r>
      <w:proofErr w:type="spellEnd"/>
      <w:r w:rsidRPr="00B14316">
        <w:t xml:space="preserve"> the ethical and legal aspects of duty to warn when seeing a seropositive client. While some believe that a HIV positive client who is having sex or IV drug use with an unsuspecting other meets the criteria for duty to warn, this is a complex issue, both legally and ethically. </w:t>
      </w:r>
      <w:proofErr w:type="spellStart"/>
      <w:r w:rsidRPr="00B14316">
        <w:t>Schlossberger</w:t>
      </w:r>
      <w:proofErr w:type="spellEnd"/>
      <w:r w:rsidRPr="00B14316">
        <w:t xml:space="preserve"> and Hecker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"bib29" \o "29" </w:instrText>
      </w:r>
      <w:r w:rsidRPr="00B14316">
        <w:fldChar w:fldCharType="separate"/>
      </w:r>
      <w:r w:rsidRPr="00B14316">
        <w:rPr>
          <w:rStyle w:val="Hyperlink"/>
          <w:color w:val="005BC6"/>
          <w:bdr w:val="none" w:sz="0" w:space="0" w:color="auto" w:frame="1"/>
        </w:rPr>
        <w:t>29</w:t>
      </w:r>
      <w:r w:rsidRPr="00B14316">
        <w:fldChar w:fldCharType="end"/>
      </w:r>
      <w:r w:rsidRPr="00B14316">
        <w:t>] ) argue that counsellors do not have the same fiduciary duties as physicians, therefore reporting mandates for physicians are not applicable to counsellors. Some states, however, do have laws regarding HIV transmission as a crime. So unless a state has a specific law mandating reporting of HIV, or if there is a state law making HIV transmission a crime, the counsellor is left to decide whether or not to breach confidentiality solely on ethical grounds.</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33" w:anchor="toc" w:tooltip="Abuse" w:history="1">
        <w:r w:rsidRPr="00B14316">
          <w:rPr>
            <w:rStyle w:val="Hyperlink"/>
            <w:rFonts w:ascii="Times New Roman" w:hAnsi="Times New Roman" w:cs="Times New Roman"/>
            <w:color w:val="005BC6"/>
            <w:sz w:val="24"/>
            <w:szCs w:val="24"/>
            <w:bdr w:val="none" w:sz="0" w:space="0" w:color="auto" w:frame="1"/>
          </w:rPr>
          <w:t>Abuse</w:t>
        </w:r>
      </w:hyperlink>
    </w:p>
    <w:p w:rsidR="00CE16ED" w:rsidRPr="00B14316" w:rsidRDefault="00CE16ED" w:rsidP="00CE16ED">
      <w:pPr>
        <w:pStyle w:val="body-paragraph"/>
        <w:spacing w:before="0" w:beforeAutospacing="0" w:after="0" w:afterAutospacing="0"/>
        <w:textAlignment w:val="baseline"/>
      </w:pPr>
      <w:r w:rsidRPr="00B14316">
        <w:t>State laws require professionals to report any child abuse or neglect, and in most states failure to do so can result in criminal penalties (</w:t>
      </w:r>
      <w:proofErr w:type="spellStart"/>
      <w:r w:rsidRPr="00B14316">
        <w:t>Kalichman</w:t>
      </w:r>
      <w:proofErr w:type="spellEnd"/>
      <w:r w:rsidRPr="00B14316">
        <w:t>, [ </w:t>
      </w:r>
      <w:hyperlink r:id="rId34" w:anchor="bib18" w:tooltip="18" w:history="1">
        <w:r w:rsidRPr="00B14316">
          <w:rPr>
            <w:rStyle w:val="Hyperlink"/>
            <w:color w:val="005BC6"/>
            <w:bdr w:val="none" w:sz="0" w:space="0" w:color="auto" w:frame="1"/>
          </w:rPr>
          <w:t>18</w:t>
        </w:r>
      </w:hyperlink>
      <w:r w:rsidRPr="00B14316">
        <w:t xml:space="preserve">] ; Lawrence &amp; </w:t>
      </w:r>
      <w:proofErr w:type="spellStart"/>
      <w:r w:rsidRPr="00B14316">
        <w:t>Kurpius</w:t>
      </w:r>
      <w:proofErr w:type="spellEnd"/>
      <w:r w:rsidRPr="00B14316">
        <w:t>, [ </w:t>
      </w:r>
      <w:hyperlink r:id="rId35" w:anchor="bib19" w:tooltip="19" w:history="1">
        <w:r w:rsidRPr="00B14316">
          <w:rPr>
            <w:rStyle w:val="Hyperlink"/>
            <w:color w:val="005BC6"/>
            <w:bdr w:val="none" w:sz="0" w:space="0" w:color="auto" w:frame="1"/>
          </w:rPr>
          <w:t>19</w:t>
        </w:r>
      </w:hyperlink>
      <w:r w:rsidRPr="00B14316">
        <w:t>] ; Thompson &amp; Rudolph, [ </w:t>
      </w:r>
      <w:hyperlink r:id="rId36" w:anchor="bib37" w:tooltip="37" w:history="1">
        <w:r w:rsidRPr="00B14316">
          <w:rPr>
            <w:rStyle w:val="Hyperlink"/>
            <w:color w:val="005BC6"/>
            <w:bdr w:val="none" w:sz="0" w:space="0" w:color="auto" w:frame="1"/>
          </w:rPr>
          <w:t>37</w:t>
        </w:r>
      </w:hyperlink>
      <w:r w:rsidRPr="00B14316">
        <w:t xml:space="preserve">] ). Clinicians are mandated by law to immediately report child abuse or neglect; some state laws even require reporting of ‘suspected’ abuse or neglect. While there has been a significant increase in the number of cases of suspected child sexual or physical abuse, </w:t>
      </w:r>
      <w:proofErr w:type="spellStart"/>
      <w:r w:rsidRPr="00B14316">
        <w:t>Kalichman</w:t>
      </w:r>
      <w:proofErr w:type="spellEnd"/>
      <w:r w:rsidRPr="00B14316">
        <w:t xml:space="preserve"> reports that there are also a substantial number of professionals who fail to report. This contributes to child maltreatment being underestimated, according to Alvarez, Kenny, Donohue, and </w:t>
      </w:r>
      <w:proofErr w:type="spellStart"/>
      <w:r w:rsidRPr="00B14316">
        <w:t>Carpin</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 \o "1" </w:instrText>
      </w:r>
      <w:r w:rsidRPr="00B14316">
        <w:fldChar w:fldCharType="separate"/>
      </w:r>
      <w:r w:rsidRPr="00B14316">
        <w:rPr>
          <w:rStyle w:val="Hyperlink"/>
          <w:color w:val="005BC6"/>
          <w:bdr w:val="none" w:sz="0" w:space="0" w:color="auto" w:frame="1"/>
        </w:rPr>
        <w:t>1</w:t>
      </w:r>
      <w:r w:rsidRPr="00B14316">
        <w:fldChar w:fldCharType="end"/>
      </w:r>
      <w:r w:rsidRPr="00B14316">
        <w:t>] ).</w:t>
      </w:r>
    </w:p>
    <w:p w:rsidR="00CE16ED" w:rsidRPr="00B14316" w:rsidRDefault="00CE16ED" w:rsidP="00CE16ED">
      <w:pPr>
        <w:pStyle w:val="body-paragraph"/>
        <w:spacing w:before="0" w:beforeAutospacing="0" w:after="0" w:afterAutospacing="0"/>
        <w:textAlignment w:val="baseline"/>
      </w:pPr>
      <w:r w:rsidRPr="00B14316">
        <w:t>Many clinicians may hesitate to report abuse because it can permanently damage the therapeutic alliance, both between counsellor and child, as well as between counsellor and parents. However, failing to report when a child is neglected or abused denies the child the right to be protected and to receive intervention services that may be crucially needed (Alvarez et al., [</w:t>
      </w:r>
      <w:hyperlink r:id="rId37" w:anchor="bib1" w:tooltip="1" w:history="1">
        <w:r w:rsidRPr="00B14316">
          <w:rPr>
            <w:rStyle w:val="Hyperlink"/>
            <w:color w:val="005BC6"/>
            <w:bdr w:val="none" w:sz="0" w:space="0" w:color="auto" w:frame="1"/>
          </w:rPr>
          <w:t>1</w:t>
        </w:r>
      </w:hyperlink>
      <w:proofErr w:type="gramStart"/>
      <w:r w:rsidRPr="00B14316">
        <w:t>] )</w:t>
      </w:r>
      <w:proofErr w:type="gramEnd"/>
      <w:r w:rsidRPr="00B14316">
        <w:t>. These ethical decisions often place the counsellor in the difficult position of choosing to obey the letter of the law against the potential additional harm that may befall a child who may or may not have been abused.</w:t>
      </w:r>
    </w:p>
    <w:p w:rsidR="00CE16ED" w:rsidRPr="00B14316" w:rsidRDefault="00CE16ED" w:rsidP="00CE16ED">
      <w:pPr>
        <w:pStyle w:val="body-paragraph"/>
        <w:spacing w:before="0" w:beforeAutospacing="0" w:after="0" w:afterAutospacing="0"/>
        <w:textAlignment w:val="baseline"/>
      </w:pPr>
      <w:r w:rsidRPr="00B14316">
        <w:t>Another problematic issue for counsellors is the emotional abuse of a child. Although this type of abuse can severely damage a child, there are few legal resources to address it. While it can be reported, overwhelmed child protective agencies are unlikely to act on the report; some will even refuse to take such a report.</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38" w:anchor="toc" w:tooltip="Subpoenas as a threat to confidentiality" w:history="1">
        <w:r w:rsidRPr="00B14316">
          <w:rPr>
            <w:rStyle w:val="Hyperlink"/>
            <w:rFonts w:ascii="Times New Roman" w:hAnsi="Times New Roman" w:cs="Times New Roman"/>
            <w:color w:val="005BC6"/>
            <w:sz w:val="24"/>
            <w:szCs w:val="24"/>
            <w:bdr w:val="none" w:sz="0" w:space="0" w:color="auto" w:frame="1"/>
          </w:rPr>
          <w:t>Subpoenas as a threat to confidentiality</w:t>
        </w:r>
      </w:hyperlink>
    </w:p>
    <w:p w:rsidR="00CE16ED" w:rsidRPr="00B14316" w:rsidRDefault="00CE16ED" w:rsidP="00CE16ED">
      <w:pPr>
        <w:pStyle w:val="body-paragraph"/>
        <w:spacing w:before="0" w:beforeAutospacing="0" w:after="0" w:afterAutospacing="0"/>
        <w:textAlignment w:val="baseline"/>
      </w:pPr>
      <w:r w:rsidRPr="00B14316">
        <w:t xml:space="preserve">When a counsellor receives a subpoena, no confidential information should be released to an attorney just for the asking. Here are a series of steps in responding to a subpoena: first, read the subpoena thoroughly. Is the attorney asking for specific information, for a case file, for testimony via court, or a deposition? Second, talk with the client (or the client's attorney with a written release) with regards to how he or she wants you to handle the subpoena. If the client is amenable to the information being made privy to the attorney, the counsellor may release the information with written consent of the client. If the client does not want the information revealed, let the attorney know that the information is confidential (and/or privileged), and that a </w:t>
      </w:r>
      <w:r w:rsidRPr="00B14316">
        <w:lastRenderedPageBreak/>
        <w:t xml:space="preserve">signed court order is needed to reveal the information. Third, talk to both parents and the child regarding the dispensation of the information. If confidentiality has been promised to the child and he or she does not want to have this promise violated, the clinician has an ethical obligation to the child to ask the judge to protect the counselling information. If the child consents, the legal parent or guardian must sign the consent to release information. If any others were involved in counselling, do not release any information about them without their written consent. Fourth, a judge may order information to be revealed, in spite of the clinician's stated rationale for why the information should be kept private. Some courts may allow counsellors to share privileged information with the judge privately to determine if the information is necessary to the proceeding, or if public disclosure would be too hurtful to those involved, such as children (Bartlett,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 Finally, do not take case records to court unless they are specifically requested in the subpoena. Counsellors should inform clients why it is necessary to break confidentiality, explain what will be revealed, and invite them to participate in this process (</w:t>
      </w:r>
      <w:proofErr w:type="spellStart"/>
      <w:r w:rsidRPr="00B14316">
        <w:t>Mappes</w:t>
      </w:r>
      <w:proofErr w:type="spellEnd"/>
      <w:r w:rsidRPr="00B14316">
        <w:t xml:space="preserve">, Robb, &amp; Engels,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"bib20" \o "20" </w:instrText>
      </w:r>
      <w:r w:rsidRPr="00B14316">
        <w:fldChar w:fldCharType="separate"/>
      </w:r>
      <w:r w:rsidRPr="00B14316">
        <w:rPr>
          <w:rStyle w:val="Hyperlink"/>
          <w:color w:val="005BC6"/>
          <w:bdr w:val="none" w:sz="0" w:space="0" w:color="auto" w:frame="1"/>
        </w:rPr>
        <w:t>20</w:t>
      </w:r>
      <w:r w:rsidRPr="00B14316">
        <w:fldChar w:fldCharType="end"/>
      </w:r>
      <w:r w:rsidRPr="00B14316">
        <w:t>] ).</w:t>
      </w:r>
    </w:p>
    <w:p w:rsidR="00CE16ED" w:rsidRPr="00B14316" w:rsidRDefault="00CE16ED" w:rsidP="00CE16ED">
      <w:pPr>
        <w:pStyle w:val="body-paragraph"/>
        <w:spacing w:before="0" w:beforeAutospacing="0" w:after="0" w:afterAutospacing="0"/>
        <w:textAlignment w:val="baseline"/>
      </w:pPr>
      <w:r w:rsidRPr="00B14316">
        <w:t>While most states have laws regarding privilege, Thompson and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 caution that in states where clients do not hold privilege, the counsellor has ‘no recourse except to reveal the information if subpoenaed’ (p. 511). Finally, Bartlett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xml:space="preserve">] ) states, ‘Failure to observe confidentiality measures may result in a professional liability lawsuit. The counsellor must become aware of the myriad of threats to client confidentiality and implement appropriate safeguards’ (p. 290). Counsellors can avoid misunderstandings if care is taken in the initial session to explain the process (Thompson &amp;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39" w:anchor="toc" w:tooltip="HIPAA laws and minors" w:history="1">
        <w:r w:rsidRPr="00B14316">
          <w:rPr>
            <w:rStyle w:val="Hyperlink"/>
            <w:rFonts w:ascii="Times New Roman" w:hAnsi="Times New Roman" w:cs="Times New Roman"/>
            <w:color w:val="005BC6"/>
            <w:sz w:val="24"/>
            <w:szCs w:val="24"/>
            <w:bdr w:val="none" w:sz="0" w:space="0" w:color="auto" w:frame="1"/>
          </w:rPr>
          <w:t>HIPAA laws and minors</w:t>
        </w:r>
      </w:hyperlink>
    </w:p>
    <w:p w:rsidR="00CE16ED" w:rsidRPr="00B14316" w:rsidRDefault="00CE16ED" w:rsidP="00CE16ED">
      <w:pPr>
        <w:pStyle w:val="body-paragraph"/>
        <w:spacing w:before="0" w:beforeAutospacing="0" w:after="0" w:afterAutospacing="0"/>
        <w:textAlignment w:val="baseline"/>
      </w:pPr>
      <w:r w:rsidRPr="00B14316">
        <w:t xml:space="preserve">The Health Insurance Portability and Accountability Act (HIPAA) that many counsellors must abide by, depending on the nature of their practice, may affect minors. According to HIPAA regulations, parents have access to children's health information with the exception of ‘psychotherapy notes’, which the regulation specifically defines. Adolescents are treated the same as young children (Roberts &amp; Dyer,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"bib27" \o "27" </w:instrText>
      </w:r>
      <w:r w:rsidRPr="00B14316">
        <w:fldChar w:fldCharType="separate"/>
      </w:r>
      <w:r w:rsidRPr="00B14316">
        <w:rPr>
          <w:rStyle w:val="Hyperlink"/>
          <w:color w:val="005BC6"/>
          <w:bdr w:val="none" w:sz="0" w:space="0" w:color="auto" w:frame="1"/>
        </w:rPr>
        <w:t>27</w:t>
      </w:r>
      <w:r w:rsidRPr="00B14316">
        <w:fldChar w:fldCharType="end"/>
      </w:r>
      <w:r w:rsidRPr="00B14316">
        <w:t>] ). However, if state law is more stringent than HIPAA regulation greater privacy protections, state statute should be followed instead of HIPAA (</w:t>
      </w:r>
      <w:proofErr w:type="spellStart"/>
      <w:r w:rsidRPr="00B14316">
        <w:t>Chaikind</w:t>
      </w:r>
      <w:proofErr w:type="spellEnd"/>
      <w:r w:rsidRPr="00B14316">
        <w:t xml:space="preserve"> et al.,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"bib6" \o "6" </w:instrText>
      </w:r>
      <w:r w:rsidRPr="00B14316">
        <w:fldChar w:fldCharType="separate"/>
      </w:r>
      <w:r w:rsidRPr="00B14316">
        <w:rPr>
          <w:rStyle w:val="Hyperlink"/>
          <w:color w:val="005BC6"/>
          <w:bdr w:val="none" w:sz="0" w:space="0" w:color="auto" w:frame="1"/>
        </w:rPr>
        <w:t>6</w:t>
      </w:r>
      <w:r w:rsidRPr="00B14316">
        <w:fldChar w:fldCharType="end"/>
      </w:r>
      <w:r w:rsidRPr="00B14316">
        <w:t>] ).</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40" w:anchor="toc" w:tooltip="Sharing information with parents" w:history="1">
        <w:r w:rsidRPr="00B14316">
          <w:rPr>
            <w:rStyle w:val="Hyperlink"/>
            <w:rFonts w:ascii="Times New Roman" w:hAnsi="Times New Roman" w:cs="Times New Roman"/>
            <w:color w:val="005BC6"/>
            <w:sz w:val="24"/>
            <w:szCs w:val="24"/>
            <w:bdr w:val="none" w:sz="0" w:space="0" w:color="auto" w:frame="1"/>
          </w:rPr>
          <w:t>Sharing information with parents</w:t>
        </w:r>
      </w:hyperlink>
    </w:p>
    <w:p w:rsidR="00CE16ED" w:rsidRPr="00B14316" w:rsidRDefault="00CE16ED" w:rsidP="00CE16ED">
      <w:pPr>
        <w:pStyle w:val="body-paragraph"/>
        <w:spacing w:before="0" w:beforeAutospacing="0" w:after="0" w:afterAutospacing="0"/>
        <w:textAlignment w:val="baseline"/>
      </w:pPr>
      <w:r w:rsidRPr="00B14316">
        <w:t xml:space="preserve">There is dissent among counselling professionals related to sharing information with parents of children who are seen in individual counselling, or seen individually within the context of family counselling. Because there may be contradictory expectations between regulations and one's code of ethics, it is wise to get these permissions in the informed consent or in a special client–counsellor contract. Generally, information is shared with parents when it is in the best interests of the child (Roberts &amp; Dyer,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"bib27" \o "27" </w:instrText>
      </w:r>
      <w:r w:rsidRPr="00B14316">
        <w:fldChar w:fldCharType="separate"/>
      </w:r>
      <w:r w:rsidRPr="00B14316">
        <w:rPr>
          <w:rStyle w:val="Hyperlink"/>
          <w:color w:val="005BC6"/>
          <w:bdr w:val="none" w:sz="0" w:space="0" w:color="auto" w:frame="1"/>
        </w:rPr>
        <w:t>27</w:t>
      </w:r>
      <w:r w:rsidRPr="00B14316">
        <w:fldChar w:fldCharType="end"/>
      </w:r>
      <w:r w:rsidRPr="00B14316">
        <w:t>] ). However, if state law is silent on the issue, determining the best interests of the child is left up to the discretion of the counsellor in consultation with the parents and child.</w:t>
      </w:r>
    </w:p>
    <w:p w:rsidR="00CE16ED" w:rsidRPr="00B14316" w:rsidRDefault="00CE16ED" w:rsidP="00CE16ED">
      <w:pPr>
        <w:pStyle w:val="body-paragraph"/>
        <w:spacing w:before="0" w:beforeAutospacing="0" w:after="0" w:afterAutospacing="0"/>
        <w:textAlignment w:val="baseline"/>
      </w:pPr>
      <w:r w:rsidRPr="00B14316">
        <w:t>There are various options for managing confidentiality with minors. Hendrix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"bib14" \o "14" </w:instrText>
      </w:r>
      <w:r w:rsidRPr="00B14316">
        <w:fldChar w:fldCharType="separate"/>
      </w:r>
      <w:r w:rsidRPr="00B14316">
        <w:rPr>
          <w:rStyle w:val="Hyperlink"/>
          <w:color w:val="005BC6"/>
          <w:bdr w:val="none" w:sz="0" w:space="0" w:color="auto" w:frame="1"/>
        </w:rPr>
        <w:t>14</w:t>
      </w:r>
      <w:r w:rsidRPr="00B14316">
        <w:fldChar w:fldCharType="end"/>
      </w:r>
      <w:r w:rsidRPr="00B14316">
        <w:t xml:space="preserve">] ) describes four possible positions counsellors can take regarding this issue of sharing information with parents; we have added two additional positions to Hendrix's </w:t>
      </w:r>
      <w:proofErr w:type="spellStart"/>
      <w:r w:rsidRPr="00B14316">
        <w:t>conceptualisation</w:t>
      </w:r>
      <w:proofErr w:type="spellEnd"/>
      <w:r w:rsidRPr="00B14316">
        <w:t xml:space="preserve"> of confidentiality options. The first confidentiality alternative is to promise minors complete confidentiality (with the exception of what a professional is mandated by law to report, such as abuse, suicidality, or </w:t>
      </w:r>
      <w:proofErr w:type="spellStart"/>
      <w:r w:rsidRPr="00B14316">
        <w:t>homicidality</w:t>
      </w:r>
      <w:proofErr w:type="spellEnd"/>
      <w:r w:rsidRPr="00B14316">
        <w:t xml:space="preserve">). The second is limited confidentiality which, according to Lawrence and </w:t>
      </w:r>
      <w:proofErr w:type="spellStart"/>
      <w:r w:rsidRPr="00B14316">
        <w:t>Kurpius</w:t>
      </w:r>
      <w:proofErr w:type="spellEnd"/>
      <w:r w:rsidRPr="00B14316">
        <w:t xml:space="preserve"> ([</w:t>
      </w:r>
      <w:hyperlink r:id="rId41" w:anchor="bib19" w:tooltip="19" w:history="1">
        <w:r w:rsidRPr="00B14316">
          <w:rPr>
            <w:rStyle w:val="Hyperlink"/>
            <w:color w:val="005BC6"/>
            <w:bdr w:val="none" w:sz="0" w:space="0" w:color="auto" w:frame="1"/>
          </w:rPr>
          <w:t>19</w:t>
        </w:r>
      </w:hyperlink>
      <w:proofErr w:type="gramStart"/>
      <w:r w:rsidRPr="00B14316">
        <w:t>] )</w:t>
      </w:r>
      <w:proofErr w:type="gramEnd"/>
      <w:r w:rsidRPr="00B14316">
        <w:t xml:space="preserve">, ‘requires the minor to waive, in advance, the right to know what will be revealed to the parent or guardian’ (p. 134). Informed forced consent is the third approach, which occurs when a </w:t>
      </w:r>
      <w:r w:rsidRPr="00B14316">
        <w:lastRenderedPageBreak/>
        <w:t>child has no voice in what is disclosed, but is informed before the disclosure is made. This is a more moderate stance where counsellors inform children, teens, and parents up front that they will bring pertinent information back to parents.</w:t>
      </w:r>
    </w:p>
    <w:p w:rsidR="00CE16ED" w:rsidRPr="00B14316" w:rsidRDefault="00CE16ED" w:rsidP="00CE16ED">
      <w:pPr>
        <w:pStyle w:val="body-paragraph"/>
        <w:spacing w:before="0" w:beforeAutospacing="0" w:after="0" w:afterAutospacing="0"/>
        <w:textAlignment w:val="baseline"/>
      </w:pPr>
      <w:r w:rsidRPr="00B14316">
        <w:t xml:space="preserve">The fourth is when no guarantee of confidentiality is made to a child. Secrets that are held by a counsellor can impede individual and family work. In using this approach it is vital that children and parents be told this at the onset of therapy, both verbally and in writing. This increases parents’ trust that the counsellor respects their rights to know important facts about their child, while also educating them that the child does need privacy in order to talk about whatever concerns he or she has. The child can be assured that not everything talked about will be shared, and that if something does come up that the counsellor decides the parents should know, the counsellor will work with the child on how to share the information and to </w:t>
      </w:r>
      <w:proofErr w:type="spellStart"/>
      <w:r w:rsidRPr="00B14316">
        <w:t>minimise</w:t>
      </w:r>
      <w:proofErr w:type="spellEnd"/>
      <w:r w:rsidRPr="00B14316">
        <w:t xml:space="preserve"> any negative consequences that may result (Taylor &amp; Adelman, [ </w:t>
      </w:r>
      <w:hyperlink r:id="rId42" w:anchor="bib36" w:tooltip="36" w:history="1">
        <w:r w:rsidRPr="00B14316">
          <w:rPr>
            <w:rStyle w:val="Hyperlink"/>
            <w:color w:val="005BC6"/>
            <w:bdr w:val="none" w:sz="0" w:space="0" w:color="auto" w:frame="1"/>
          </w:rPr>
          <w:t>36</w:t>
        </w:r>
      </w:hyperlink>
      <w:r w:rsidRPr="00B14316">
        <w:t>] ).</w:t>
      </w:r>
    </w:p>
    <w:p w:rsidR="00CE16ED" w:rsidRPr="00B14316" w:rsidRDefault="00CE16ED" w:rsidP="00CE16ED">
      <w:pPr>
        <w:pStyle w:val="body-paragraph"/>
        <w:spacing w:before="0" w:beforeAutospacing="0" w:after="0" w:afterAutospacing="0"/>
        <w:textAlignment w:val="baseline"/>
      </w:pPr>
      <w:r w:rsidRPr="00B14316">
        <w:t xml:space="preserve">If this occurs, the counsellor could spend time discussing the child's fears in sharing the information, brainstorming, and role playing ways for the child to tell the parents, and discussing how to handle fallout after the disclosure. Lawrence and </w:t>
      </w:r>
      <w:proofErr w:type="spellStart"/>
      <w:r w:rsidRPr="00B14316">
        <w:t>Kurpius</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"bib19" \o "19" </w:instrText>
      </w:r>
      <w:r w:rsidRPr="00B14316">
        <w:fldChar w:fldCharType="separate"/>
      </w:r>
      <w:r w:rsidRPr="00B14316">
        <w:rPr>
          <w:rStyle w:val="Hyperlink"/>
          <w:color w:val="005BC6"/>
          <w:bdr w:val="none" w:sz="0" w:space="0" w:color="auto" w:frame="1"/>
        </w:rPr>
        <w:t>19</w:t>
      </w:r>
      <w:r w:rsidRPr="00B14316">
        <w:fldChar w:fldCharType="end"/>
      </w:r>
      <w:r w:rsidRPr="00B14316">
        <w:t>] ) recommend counsellors can motivate reluctant children to share information with parents that is deemed to be potentially helpful by explaining the probable benefits and the importance of disclosing. The success of these efforts often depends on the degree of trust and the quality of the professional relationship between counsellor and child.</w:t>
      </w:r>
    </w:p>
    <w:p w:rsidR="00CE16ED" w:rsidRPr="00B14316" w:rsidRDefault="00CE16ED" w:rsidP="00CE16ED">
      <w:pPr>
        <w:pStyle w:val="body-paragraph"/>
        <w:spacing w:before="0" w:beforeAutospacing="0" w:after="0" w:afterAutospacing="0"/>
        <w:textAlignment w:val="baseline"/>
      </w:pPr>
      <w:r w:rsidRPr="00B14316">
        <w:t>In addition to these, a fifth position is that the counsellor may work with the parents and child to come to a mutual agreement regarding confidentiality as to what will be disclosed to parents and what will not. For example, some parents will want to know about an adolescent's sexual activity, others will not. Use of alcohol may not need to be disclosed, but what if the counsellor learns that the adolescent client is drinking and driving? If the parents and adolescents cannot agree, the parental rights typically prevail, unless state law is contrary to this position. Written contracts can be used to solidify agreements, and help protect the therapeutic relationship by transparency in potential actions that may need to be taken by the counsellor.</w:t>
      </w:r>
    </w:p>
    <w:p w:rsidR="00CE16ED" w:rsidRPr="00B14316" w:rsidRDefault="00CE16ED" w:rsidP="00CE16ED">
      <w:pPr>
        <w:pStyle w:val="body-paragraph"/>
        <w:spacing w:before="0" w:beforeAutospacing="0" w:after="0" w:afterAutospacing="0"/>
        <w:textAlignment w:val="baseline"/>
      </w:pPr>
      <w:r w:rsidRPr="00B14316">
        <w:t>Finally, some counsellors will set up a ‘best interests’ agreement with the child and parents. The limits to confidentiality in this agreement are set up by the counsellor him or herself, and the children and parents leave the decision to share information solely with her. It is agreed that confidentiality will be maintained unless the counsellor believes that the child's best interests are not being served in relation to his or her health, welfare, or significant relationships. If any of these areas are seriously impaired the counsellor uses his/her judgment to decide if confidentiality should be breached. Again, a written agreement can solidify the contract between all stakeholders.</w:t>
      </w:r>
    </w:p>
    <w:p w:rsidR="00CE16ED" w:rsidRPr="00B14316" w:rsidRDefault="00CE16ED" w:rsidP="00CE16ED">
      <w:pPr>
        <w:pStyle w:val="body-paragraph"/>
        <w:spacing w:before="0" w:beforeAutospacing="0" w:after="0" w:afterAutospacing="0"/>
        <w:textAlignment w:val="baseline"/>
      </w:pPr>
      <w:r w:rsidRPr="00B14316">
        <w:t xml:space="preserve">There are advantages and disadvantages to each type of agreement. The more broad the disclosure policy is with regard to what the counsellor shares with others, the less likely the child or adolescent will reveal important information in therapy. The </w:t>
      </w:r>
      <w:proofErr w:type="gramStart"/>
      <w:r w:rsidRPr="00B14316">
        <w:t>more narrow</w:t>
      </w:r>
      <w:proofErr w:type="gramEnd"/>
      <w:r w:rsidRPr="00B14316">
        <w:t xml:space="preserve"> the disclosure policy, the more the counsellor risks becoming therapeutically immobile if there is important information that parents should know. If a child or adolescent has been promised complete confidentiality, the counsellor may be unsure of the ethics of proceeding in therapy with information that may upset parents if they learned of it. Examples may include pregnancy, sexual activity, risky sexual activity, or other risky </w:t>
      </w:r>
      <w:proofErr w:type="spellStart"/>
      <w:r w:rsidRPr="00B14316">
        <w:t>behaviours</w:t>
      </w:r>
      <w:proofErr w:type="spellEnd"/>
      <w:r w:rsidRPr="00B14316">
        <w:t>, especially if the minor client insists that the counsellor not tell her parents.</w:t>
      </w:r>
    </w:p>
    <w:p w:rsidR="00CE16ED" w:rsidRPr="00B14316" w:rsidRDefault="00CE16ED" w:rsidP="00CE16ED">
      <w:pPr>
        <w:pStyle w:val="body-paragraph"/>
        <w:spacing w:before="0" w:beforeAutospacing="0" w:after="0" w:afterAutospacing="0"/>
        <w:textAlignment w:val="baseline"/>
      </w:pPr>
      <w:r w:rsidRPr="00B14316">
        <w:t>Isaacs and Stone ([ </w:t>
      </w:r>
      <w:hyperlink r:id="rId43" w:anchor="bib15" w:tooltip="15" w:history="1">
        <w:r w:rsidRPr="00B14316">
          <w:rPr>
            <w:rStyle w:val="Hyperlink"/>
            <w:color w:val="005BC6"/>
            <w:bdr w:val="none" w:sz="0" w:space="0" w:color="auto" w:frame="1"/>
          </w:rPr>
          <w:t>15</w:t>
        </w:r>
      </w:hyperlink>
      <w:r w:rsidRPr="00B14316">
        <w:t>] , [ </w:t>
      </w:r>
      <w:hyperlink r:id="rId44" w:anchor="bib16" w:tooltip="16" w:history="1">
        <w:r w:rsidRPr="00B14316">
          <w:rPr>
            <w:rStyle w:val="Hyperlink"/>
            <w:color w:val="005BC6"/>
            <w:bdr w:val="none" w:sz="0" w:space="0" w:color="auto" w:frame="1"/>
          </w:rPr>
          <w:t>16</w:t>
        </w:r>
      </w:hyperlink>
      <w:r w:rsidRPr="00B14316">
        <w:t xml:space="preserve">] ) suggest that there are two factors that counsellors should consider in deciding whether to breach confidentiality: the age of the child and how serious the </w:t>
      </w:r>
      <w:proofErr w:type="spellStart"/>
      <w:r w:rsidRPr="00B14316">
        <w:t>behaviour</w:t>
      </w:r>
      <w:proofErr w:type="spellEnd"/>
      <w:r w:rsidRPr="00B14316">
        <w:t xml:space="preserve"> </w:t>
      </w:r>
      <w:r w:rsidRPr="00B14316">
        <w:lastRenderedPageBreak/>
        <w:t xml:space="preserve">is in which the minor child is engaging. Less serious </w:t>
      </w:r>
      <w:proofErr w:type="spellStart"/>
      <w:r w:rsidRPr="00B14316">
        <w:t>behaviours</w:t>
      </w:r>
      <w:proofErr w:type="spellEnd"/>
      <w:r w:rsidRPr="00B14316">
        <w:t xml:space="preserve"> might include smoking or breaking curfew. According to Roberts and Dyer ([ </w:t>
      </w:r>
      <w:hyperlink r:id="rId45" w:anchor="bib27" w:tooltip="27" w:history="1">
        <w:r w:rsidRPr="00B14316">
          <w:rPr>
            <w:rStyle w:val="Hyperlink"/>
            <w:color w:val="005BC6"/>
            <w:bdr w:val="none" w:sz="0" w:space="0" w:color="auto" w:frame="1"/>
          </w:rPr>
          <w:t>27</w:t>
        </w:r>
      </w:hyperlink>
      <w:r w:rsidRPr="00B14316">
        <w:t xml:space="preserve">] , p. 124), potential high risk </w:t>
      </w:r>
      <w:proofErr w:type="spellStart"/>
      <w:r w:rsidRPr="00B14316">
        <w:t>behaviours</w:t>
      </w:r>
      <w:proofErr w:type="spellEnd"/>
      <w:r w:rsidRPr="00B14316">
        <w:t xml:space="preserve"> might include substance abuse, sexual activity, truancy, gang involvement, irresponsible driving </w:t>
      </w:r>
      <w:proofErr w:type="spellStart"/>
      <w:r w:rsidRPr="00B14316">
        <w:t>behaviour</w:t>
      </w:r>
      <w:proofErr w:type="spellEnd"/>
      <w:r w:rsidRPr="00B14316">
        <w:t xml:space="preserve">, extreme religious practices, unorthodox dieting procedures, fascination with guns or other weapons, or illegal </w:t>
      </w:r>
      <w:proofErr w:type="spellStart"/>
      <w:r w:rsidRPr="00B14316">
        <w:t>behaviour</w:t>
      </w:r>
      <w:proofErr w:type="spellEnd"/>
      <w:r w:rsidRPr="00B14316">
        <w:t xml:space="preserve">. Roberts and Dyer advocate for a clear description by the counsellor as to what constitutes dangerous </w:t>
      </w:r>
      <w:proofErr w:type="spellStart"/>
      <w:r w:rsidRPr="00B14316">
        <w:t>behaviour</w:t>
      </w:r>
      <w:proofErr w:type="spellEnd"/>
      <w:r w:rsidRPr="00B14316">
        <w:t>. Agreements reached should be clearly detailed to avoid undermining trust in the therapeutic relationship between the counsellor, parents, and child.</w:t>
      </w:r>
    </w:p>
    <w:p w:rsidR="00CE16ED" w:rsidRPr="00B14316" w:rsidRDefault="00CE16ED" w:rsidP="00CE16ED">
      <w:pPr>
        <w:pStyle w:val="body-paragraph"/>
        <w:spacing w:before="0" w:beforeAutospacing="0" w:after="0" w:afterAutospacing="0"/>
        <w:textAlignment w:val="baseline"/>
      </w:pPr>
      <w:r w:rsidRPr="00B14316">
        <w:t>When the counsellor has to force disclosure, children can be allowed to decide if they want to tell their parents, if they want the counsellor to tell in their presence, or if they want to wait in the hallway while parents are told. Children can also be reassured that the counsellor will be available to help the child and parents work through the problem. It is important to prepare parents, reminding them that no one should be punished for anything said in counselling, and to point out that in telling them the child shows courage and trust in the parents.</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46" w:anchor="toc" w:tooltip="Group confidentiality" w:history="1">
        <w:r w:rsidRPr="00B14316">
          <w:rPr>
            <w:rStyle w:val="Hyperlink"/>
            <w:rFonts w:ascii="Times New Roman" w:hAnsi="Times New Roman" w:cs="Times New Roman"/>
            <w:color w:val="005BC6"/>
            <w:sz w:val="24"/>
            <w:szCs w:val="24"/>
            <w:bdr w:val="none" w:sz="0" w:space="0" w:color="auto" w:frame="1"/>
          </w:rPr>
          <w:t>Group confidentiality</w:t>
        </w:r>
      </w:hyperlink>
    </w:p>
    <w:p w:rsidR="00CE16ED" w:rsidRPr="00B14316" w:rsidRDefault="00CE16ED" w:rsidP="00CE16ED">
      <w:pPr>
        <w:pStyle w:val="body-paragraph"/>
        <w:spacing w:before="0" w:beforeAutospacing="0" w:after="0" w:afterAutospacing="0"/>
        <w:textAlignment w:val="baseline"/>
      </w:pPr>
      <w:r w:rsidRPr="00B14316">
        <w:t xml:space="preserve">Although confidentiality is vital in establishing trust among participants in group counselling, there are inherent problems, especially in children's groups (Thompson &amp;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xml:space="preserve">] ). Complete confidentiality in group counselling is harder to attain (McCarthy &amp; Sorenson,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"bib21" \o "21" </w:instrText>
      </w:r>
      <w:r w:rsidRPr="00B14316">
        <w:fldChar w:fldCharType="separate"/>
      </w:r>
      <w:r w:rsidRPr="00B14316">
        <w:rPr>
          <w:rStyle w:val="Hyperlink"/>
          <w:color w:val="005BC6"/>
          <w:bdr w:val="none" w:sz="0" w:space="0" w:color="auto" w:frame="1"/>
        </w:rPr>
        <w:t>21</w:t>
      </w:r>
      <w:r w:rsidRPr="00B14316">
        <w:fldChar w:fldCharType="end"/>
      </w:r>
      <w:r w:rsidRPr="00B14316">
        <w:t xml:space="preserve">] ). Time and care must be taken to explain the concept of confidentiality, and to be certain that each child understands the concept, as well as to explore how children might be harmed if participants discuss what is talked about outside the group. Children should be encouraged to consider the potential limits of confidentiality before disclosing very personal information during group counselling. </w:t>
      </w:r>
      <w:proofErr w:type="spellStart"/>
      <w:r w:rsidRPr="00B14316">
        <w:t>Salo</w:t>
      </w:r>
      <w:proofErr w:type="spellEnd"/>
      <w:r w:rsidRPr="00B14316">
        <w:t xml:space="preserve"> and Shumate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"bib28" \o "28" </w:instrText>
      </w:r>
      <w:r w:rsidRPr="00B14316">
        <w:fldChar w:fldCharType="separate"/>
      </w:r>
      <w:r w:rsidRPr="00B14316">
        <w:rPr>
          <w:rStyle w:val="Hyperlink"/>
          <w:color w:val="005BC6"/>
          <w:bdr w:val="none" w:sz="0" w:space="0" w:color="auto" w:frame="1"/>
        </w:rPr>
        <w:t>28</w:t>
      </w:r>
      <w:r w:rsidRPr="00B14316">
        <w:fldChar w:fldCharType="end"/>
      </w:r>
      <w:r w:rsidRPr="00B14316">
        <w:t>] ) also advise counsellors to explain to group members that privileged communication may not apply to discussions that take place in a group format. Cant ([</w:t>
      </w:r>
      <w:hyperlink r:id="rId47" w:anchor="bib4" w:tooltip="4" w:history="1">
        <w:r w:rsidRPr="00B14316">
          <w:rPr>
            <w:rStyle w:val="Hyperlink"/>
            <w:color w:val="005BC6"/>
            <w:bdr w:val="none" w:sz="0" w:space="0" w:color="auto" w:frame="1"/>
          </w:rPr>
          <w:t>4</w:t>
        </w:r>
      </w:hyperlink>
      <w:proofErr w:type="gramStart"/>
      <w:r w:rsidRPr="00B14316">
        <w:t>] )</w:t>
      </w:r>
      <w:proofErr w:type="gramEnd"/>
      <w:r w:rsidRPr="00B14316">
        <w:t xml:space="preserve"> notes confidentiality limitations need to be clarified when working with children in a residential setting, where many staff have access to children's records.</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48" w:anchor="toc" w:tooltip="Informed Consent to Treat Minors" w:history="1">
        <w:r w:rsidRPr="00B14316">
          <w:rPr>
            <w:rStyle w:val="Hyperlink"/>
            <w:rFonts w:ascii="Times New Roman" w:hAnsi="Times New Roman" w:cs="Times New Roman"/>
            <w:color w:val="005BC6"/>
            <w:sz w:val="24"/>
            <w:szCs w:val="24"/>
            <w:bdr w:val="none" w:sz="0" w:space="0" w:color="auto" w:frame="1"/>
          </w:rPr>
          <w:t>Informed Consent to Treat Minors</w:t>
        </w:r>
      </w:hyperlink>
    </w:p>
    <w:p w:rsidR="00CE16ED" w:rsidRPr="00B14316" w:rsidRDefault="00CE16ED" w:rsidP="00CE16ED">
      <w:pPr>
        <w:pStyle w:val="body-paragraph"/>
        <w:spacing w:before="0" w:beforeAutospacing="0" w:after="0" w:afterAutospacing="0"/>
        <w:textAlignment w:val="baseline"/>
      </w:pPr>
      <w:r w:rsidRPr="00B14316">
        <w:t xml:space="preserve">Informed consent ‘is the formal permission given by a client that signals the beginning of the legal, contractual agreement that allows treatment to be initiated’ (Lawrence &amp; </w:t>
      </w:r>
      <w:proofErr w:type="spellStart"/>
      <w:r w:rsidRPr="00B14316">
        <w:t>Kurpius</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"bib19" \o "19" </w:instrText>
      </w:r>
      <w:r w:rsidRPr="00B14316">
        <w:fldChar w:fldCharType="separate"/>
      </w:r>
      <w:r w:rsidRPr="00B14316">
        <w:rPr>
          <w:rStyle w:val="Hyperlink"/>
          <w:color w:val="005BC6"/>
          <w:bdr w:val="none" w:sz="0" w:space="0" w:color="auto" w:frame="1"/>
        </w:rPr>
        <w:t>19</w:t>
      </w:r>
      <w:r w:rsidRPr="00B14316">
        <w:fldChar w:fldCharType="end"/>
      </w:r>
      <w:r w:rsidRPr="00B14316">
        <w:t xml:space="preserve">] , p. 133). Clients need to give informed consent freely, after being appraised of the risks and benefits of treatment. (See Jensen, McNamara, &amp; Gustafson,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"bib17" \o "17" </w:instrText>
      </w:r>
      <w:r w:rsidRPr="00B14316">
        <w:fldChar w:fldCharType="separate"/>
      </w:r>
      <w:r w:rsidRPr="00B14316">
        <w:rPr>
          <w:rStyle w:val="Hyperlink"/>
          <w:color w:val="005BC6"/>
          <w:bdr w:val="none" w:sz="0" w:space="0" w:color="auto" w:frame="1"/>
        </w:rPr>
        <w:t>17</w:t>
      </w:r>
      <w:r w:rsidRPr="00B14316">
        <w:fldChar w:fldCharType="end"/>
      </w:r>
      <w:r w:rsidRPr="00B14316">
        <w:t>] for the results of a study on what to include when discussing informed consent with parents.) Minors may contract for professional counselling either by having parental consent, involuntarily (at the insistence of a parent), or involuntarily through a court order. Informed consent in all of these cases can alleviate any misunderstandings and decrease counsellor angst and potential liability issues.</w:t>
      </w:r>
    </w:p>
    <w:p w:rsidR="00CE16ED" w:rsidRPr="00B14316" w:rsidRDefault="00CE16ED" w:rsidP="00CE16ED">
      <w:pPr>
        <w:pStyle w:val="body-paragraph"/>
        <w:spacing w:before="0" w:beforeAutospacing="0" w:after="0" w:afterAutospacing="0"/>
        <w:textAlignment w:val="baseline"/>
      </w:pPr>
      <w:r w:rsidRPr="00B14316">
        <w:t xml:space="preserve">Twenty states allow mature minors (see later) to provide consent to access mental health treatment (Roberts &amp; Dyer,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"bib27" \o "27" </w:instrText>
      </w:r>
      <w:r w:rsidRPr="00B14316">
        <w:fldChar w:fldCharType="separate"/>
      </w:r>
      <w:r w:rsidRPr="00B14316">
        <w:rPr>
          <w:rStyle w:val="Hyperlink"/>
          <w:color w:val="005BC6"/>
          <w:bdr w:val="none" w:sz="0" w:space="0" w:color="auto" w:frame="1"/>
        </w:rPr>
        <w:t>27</w:t>
      </w:r>
      <w:r w:rsidRPr="00B14316">
        <w:fldChar w:fldCharType="end"/>
      </w:r>
      <w:r w:rsidRPr="00B14316">
        <w:t xml:space="preserve">] ). In addition, in some jurisdictions, minors are allowed to consent to treatment without parental knowledge, often when they are facing situations for which they would not access treatment if parental consent was required. Some states may not require parental consent to treat minors for issues such as drug abuse, pregnancy, or birth control counselling, sexually transmitted diseases, or following a sexual assault on a minor 12 or older (Lawrence &amp; </w:t>
      </w:r>
      <w:proofErr w:type="spellStart"/>
      <w:r w:rsidRPr="00B14316">
        <w:t>Kurpius</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"bib19" \o "19" </w:instrText>
      </w:r>
      <w:r w:rsidRPr="00B14316">
        <w:fldChar w:fldCharType="separate"/>
      </w:r>
      <w:r w:rsidRPr="00B14316">
        <w:rPr>
          <w:rStyle w:val="Hyperlink"/>
          <w:color w:val="005BC6"/>
          <w:bdr w:val="none" w:sz="0" w:space="0" w:color="auto" w:frame="1"/>
        </w:rPr>
        <w:t>19</w:t>
      </w:r>
      <w:r w:rsidRPr="00B14316">
        <w:fldChar w:fldCharType="end"/>
      </w:r>
      <w:r w:rsidRPr="00B14316">
        <w:t>] ).</w:t>
      </w:r>
    </w:p>
    <w:p w:rsidR="00CE16ED" w:rsidRPr="00B14316" w:rsidRDefault="00CE16ED" w:rsidP="00CE16ED">
      <w:pPr>
        <w:pStyle w:val="body-paragraph"/>
        <w:spacing w:before="0" w:beforeAutospacing="0" w:after="0" w:afterAutospacing="0"/>
        <w:textAlignment w:val="baseline"/>
      </w:pPr>
      <w:r w:rsidRPr="00B14316">
        <w:t>Exceptions to parental consent typically include the mature minor exception, emancipated minors (see below), and for emergency treatment. Court‐ordered treatment also is an exception (Gustafson &amp; McNamara, [ </w:t>
      </w:r>
      <w:hyperlink r:id="rId49" w:anchor="bib10" w:tooltip="10" w:history="1">
        <w:r w:rsidRPr="00B14316">
          <w:rPr>
            <w:rStyle w:val="Hyperlink"/>
            <w:color w:val="005BC6"/>
            <w:bdr w:val="none" w:sz="0" w:space="0" w:color="auto" w:frame="1"/>
          </w:rPr>
          <w:t>10</w:t>
        </w:r>
      </w:hyperlink>
      <w:r w:rsidRPr="00B14316">
        <w:t xml:space="preserve">] ; </w:t>
      </w:r>
      <w:proofErr w:type="spellStart"/>
      <w:r w:rsidRPr="00B14316">
        <w:t>Plotkin</w:t>
      </w:r>
      <w:proofErr w:type="spellEnd"/>
      <w:r w:rsidRPr="00B14316">
        <w:t>, [ </w:t>
      </w:r>
      <w:hyperlink r:id="rId50" w:anchor="bib25" w:tooltip="25" w:history="1">
        <w:r w:rsidRPr="00B14316">
          <w:rPr>
            <w:rStyle w:val="Hyperlink"/>
            <w:color w:val="005BC6"/>
            <w:bdr w:val="none" w:sz="0" w:space="0" w:color="auto" w:frame="1"/>
          </w:rPr>
          <w:t>25</w:t>
        </w:r>
      </w:hyperlink>
      <w:r w:rsidRPr="00B14316">
        <w:t>] ).</w:t>
      </w:r>
    </w:p>
    <w:p w:rsidR="00CE16ED" w:rsidRPr="00B14316" w:rsidRDefault="00CE16ED" w:rsidP="00CE16ED">
      <w:pPr>
        <w:pStyle w:val="body-paragraph"/>
        <w:spacing w:before="0" w:beforeAutospacing="0" w:after="0" w:afterAutospacing="0"/>
        <w:textAlignment w:val="baseline"/>
      </w:pPr>
      <w:r w:rsidRPr="00B14316">
        <w:lastRenderedPageBreak/>
        <w:t xml:space="preserve">Emancipated minors typically have the rights and obligations granted to adults. Emancipation may occur in several ways, depending upon state law. Typical emancipating actions include: by parental permission, by court order, when the minor marries, has a child, is able to support oneself and live independently, or enlists in the armed forces (Dickson,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"bib9" \o "9" </w:instrText>
      </w:r>
      <w:r w:rsidRPr="00B14316">
        <w:fldChar w:fldCharType="separate"/>
      </w:r>
      <w:r w:rsidRPr="00B14316">
        <w:rPr>
          <w:rStyle w:val="Hyperlink"/>
          <w:color w:val="005BC6"/>
          <w:bdr w:val="none" w:sz="0" w:space="0" w:color="auto" w:frame="1"/>
        </w:rPr>
        <w:t>9</w:t>
      </w:r>
      <w:r w:rsidRPr="00B14316">
        <w:fldChar w:fldCharType="end"/>
      </w:r>
      <w:r w:rsidRPr="00B14316">
        <w:t>] ). Emancipated minors are over the age of 14 or 15 (but under 18). Differences exist by state statute. Emancipated minors are treated as adults with regard to confidentiality and typically privilege, as well. They do not need parental consent for treatment (Bartlett, [ </w:t>
      </w:r>
      <w:hyperlink r:id="rId51" w:anchor="bib3" w:tooltip="3" w:history="1">
        <w:r w:rsidRPr="00B14316">
          <w:rPr>
            <w:rStyle w:val="Hyperlink"/>
            <w:color w:val="005BC6"/>
            <w:bdr w:val="none" w:sz="0" w:space="0" w:color="auto" w:frame="1"/>
          </w:rPr>
          <w:t>3</w:t>
        </w:r>
      </w:hyperlink>
      <w:r w:rsidRPr="00B14316">
        <w:t xml:space="preserve">] ; Lawrence &amp; </w:t>
      </w:r>
      <w:proofErr w:type="spellStart"/>
      <w:r w:rsidRPr="00B14316">
        <w:t>Kurpius</w:t>
      </w:r>
      <w:proofErr w:type="spellEnd"/>
      <w:r w:rsidRPr="00B14316">
        <w:t>, [ </w:t>
      </w:r>
      <w:hyperlink r:id="rId52" w:anchor="bib19" w:tooltip="19" w:history="1">
        <w:r w:rsidRPr="00B14316">
          <w:rPr>
            <w:rStyle w:val="Hyperlink"/>
            <w:color w:val="005BC6"/>
            <w:bdr w:val="none" w:sz="0" w:space="0" w:color="auto" w:frame="1"/>
          </w:rPr>
          <w:t>19</w:t>
        </w:r>
      </w:hyperlink>
      <w:r w:rsidRPr="00B14316">
        <w:t>] ).</w:t>
      </w:r>
    </w:p>
    <w:p w:rsidR="00CE16ED" w:rsidRPr="00B14316" w:rsidRDefault="00CE16ED" w:rsidP="00CE16ED">
      <w:pPr>
        <w:pStyle w:val="body-paragraph"/>
        <w:spacing w:before="0" w:beforeAutospacing="0" w:after="0" w:afterAutospacing="0"/>
        <w:textAlignment w:val="baseline"/>
      </w:pPr>
      <w:r w:rsidRPr="00B14316">
        <w:t>One important criterion to consider regarding the need for parental consent is the age of the minor child. Bartlett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xml:space="preserve">] ) describes a mature minor as one who is thought to be capable of making informed decisions as well as adults. Mature minors may give informed consent for treatment, and may </w:t>
      </w:r>
      <w:proofErr w:type="spellStart"/>
      <w:r w:rsidRPr="00B14316">
        <w:t>authorise</w:t>
      </w:r>
      <w:proofErr w:type="spellEnd"/>
      <w:r w:rsidRPr="00B14316">
        <w:t xml:space="preserve"> the release of confidential information (see Morrissey, </w:t>
      </w:r>
      <w:proofErr w:type="spellStart"/>
      <w:r w:rsidRPr="00B14316">
        <w:t>Hofman</w:t>
      </w:r>
      <w:proofErr w:type="spellEnd"/>
      <w:r w:rsidRPr="00B14316">
        <w:t xml:space="preserve">, &amp; </w:t>
      </w:r>
      <w:proofErr w:type="spellStart"/>
      <w:r w:rsidRPr="00B14316">
        <w:t>Thrope</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"bib24" \o "24" </w:instrText>
      </w:r>
      <w:r w:rsidRPr="00B14316">
        <w:fldChar w:fldCharType="separate"/>
      </w:r>
      <w:r w:rsidRPr="00B14316">
        <w:rPr>
          <w:rStyle w:val="Hyperlink"/>
          <w:color w:val="005BC6"/>
          <w:bdr w:val="none" w:sz="0" w:space="0" w:color="auto" w:frame="1"/>
        </w:rPr>
        <w:t>24</w:t>
      </w:r>
      <w:r w:rsidRPr="00B14316">
        <w:fldChar w:fldCharType="end"/>
      </w:r>
      <w:r w:rsidRPr="00B14316">
        <w:t xml:space="preserve">] ). Mature minors are generally children over the age of 16 (Lawrence &amp; </w:t>
      </w:r>
      <w:proofErr w:type="spellStart"/>
      <w:r w:rsidRPr="00B14316">
        <w:t>Kurpius</w:t>
      </w:r>
      <w:proofErr w:type="spellEnd"/>
      <w:r w:rsidRPr="00B14316">
        <w:t>, [</w:t>
      </w:r>
      <w:hyperlink r:id="rId53" w:anchor="bib19" w:tooltip="19" w:history="1">
        <w:r w:rsidRPr="00B14316">
          <w:rPr>
            <w:rStyle w:val="Hyperlink"/>
            <w:color w:val="005BC6"/>
            <w:bdr w:val="none" w:sz="0" w:space="0" w:color="auto" w:frame="1"/>
          </w:rPr>
          <w:t>19</w:t>
        </w:r>
      </w:hyperlink>
      <w:proofErr w:type="gramStart"/>
      <w:r w:rsidRPr="00B14316">
        <w:t>] )</w:t>
      </w:r>
      <w:proofErr w:type="gramEnd"/>
      <w:r w:rsidRPr="00B14316">
        <w:t>, but the age may vary as this status is defined by state statute.</w:t>
      </w:r>
    </w:p>
    <w:p w:rsidR="00CE16ED" w:rsidRPr="00B14316" w:rsidRDefault="00CE16ED" w:rsidP="00CE16ED">
      <w:pPr>
        <w:pStyle w:val="body-paragraph"/>
        <w:spacing w:before="0" w:beforeAutospacing="0" w:after="0" w:afterAutospacing="0"/>
        <w:textAlignment w:val="baseline"/>
      </w:pPr>
      <w:r w:rsidRPr="00B14316">
        <w:t xml:space="preserve">Young minors are usually those under 14 years old, and for these children ‘the parent or guardian is the legal decision‐maker and can legally obtain information about the diagnosis, prognosis, therapy, and so on’ (Bartlett,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xml:space="preserve">] , p. 280). Although some states allow young minors to grant their own informed consent in the case of an emergency when their health or life appears to be endangered, parental consent should still be procured as quickly as possible (Lawrence &amp; </w:t>
      </w:r>
      <w:proofErr w:type="spellStart"/>
      <w:r w:rsidRPr="00B14316">
        <w:t>Kurpius</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"bib19" \o "19" </w:instrText>
      </w:r>
      <w:r w:rsidRPr="00B14316">
        <w:fldChar w:fldCharType="separate"/>
      </w:r>
      <w:r w:rsidRPr="00B14316">
        <w:rPr>
          <w:rStyle w:val="Hyperlink"/>
          <w:color w:val="005BC6"/>
          <w:bdr w:val="none" w:sz="0" w:space="0" w:color="auto" w:frame="1"/>
        </w:rPr>
        <w:t>19</w:t>
      </w:r>
      <w:r w:rsidRPr="00B14316">
        <w:fldChar w:fldCharType="end"/>
      </w:r>
      <w:r w:rsidRPr="00B14316">
        <w:t>] ).</w:t>
      </w:r>
    </w:p>
    <w:p w:rsidR="00CE16ED" w:rsidRPr="00B14316" w:rsidRDefault="00CE16ED" w:rsidP="00CE16ED">
      <w:pPr>
        <w:pStyle w:val="body-paragraph"/>
        <w:spacing w:before="0" w:beforeAutospacing="0" w:after="0" w:afterAutospacing="0"/>
        <w:textAlignment w:val="baseline"/>
      </w:pPr>
      <w:proofErr w:type="gramStart"/>
      <w:r w:rsidRPr="00B14316">
        <w:t>While there is no general rule that explicitly requires counsellors to obtain written permission from parents for children to receive counselling, ‘obtaining parental consent is good practice for counsellors unless potential danger to the minor exists.</w:t>
      </w:r>
      <w:proofErr w:type="gramEnd"/>
      <w:r w:rsidRPr="00B14316">
        <w:t xml:space="preserve"> … The law generally supports parents who forbid counselling of their minor children unless there are extenuating circumstances’ (Thompson &amp;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 p. 509). It is wise to prevent problems by communicating early with parents, and parents should be made aware their child has sought counselling and be asked to provide informed consent at the onset of treatment. An exception to this may be schools that have policies that allow a child to see a school counsellor for a few sessions before parents are informed and asked to give consent.</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54" w:anchor="toc" w:tooltip="Obtaining consent to treat a minor" w:history="1">
        <w:r w:rsidRPr="00B14316">
          <w:rPr>
            <w:rStyle w:val="Hyperlink"/>
            <w:rFonts w:ascii="Times New Roman" w:hAnsi="Times New Roman" w:cs="Times New Roman"/>
            <w:color w:val="005BC6"/>
            <w:sz w:val="24"/>
            <w:szCs w:val="24"/>
            <w:bdr w:val="none" w:sz="0" w:space="0" w:color="auto" w:frame="1"/>
          </w:rPr>
          <w:t>Obtaining consent to treat a minor</w:t>
        </w:r>
      </w:hyperlink>
    </w:p>
    <w:p w:rsidR="00CE16ED" w:rsidRPr="00B14316" w:rsidRDefault="00CE16ED" w:rsidP="00CE16ED">
      <w:pPr>
        <w:pStyle w:val="body-paragraph"/>
        <w:spacing w:before="0" w:beforeAutospacing="0" w:after="0" w:afterAutospacing="0"/>
        <w:textAlignment w:val="baseline"/>
      </w:pPr>
      <w:r w:rsidRPr="00B14316">
        <w:t xml:space="preserve">Counsellors should ask parents to sign an informed consent form giving their permission to treat the minor children at the first session where children are seen. At this time, release forms allowing communication with other professionals involved in the treatment of the child (e.g., physicians, school counsellors) also may be obtained. Counsellors always must obtain signed permission from the parent who has legal (not physical) custody of the children, and should insist on being given written proof as to who retains legal custody of the children (Thompson &amp;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 It is wise to know state law regarding the rights of noncustodial parents. According to Bartlett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xml:space="preserve">] ), ‘Only a custodial parent can authorize treatment or release of confidential information’ (p. 280). Divorced parents can be </w:t>
      </w:r>
      <w:proofErr w:type="spellStart"/>
      <w:r w:rsidRPr="00B14316">
        <w:t>polarised</w:t>
      </w:r>
      <w:proofErr w:type="spellEnd"/>
      <w:r w:rsidRPr="00B14316">
        <w:t xml:space="preserve"> on the issue of counselling, with one parent advocating for individual or family counselling, and the other demanding the right to be informed and/or give consent.</w:t>
      </w:r>
    </w:p>
    <w:p w:rsidR="00CE16ED" w:rsidRPr="00B14316" w:rsidRDefault="00CE16ED" w:rsidP="00CE16ED">
      <w:pPr>
        <w:pStyle w:val="body-paragraph"/>
        <w:spacing w:before="0" w:beforeAutospacing="0" w:after="0" w:afterAutospacing="0"/>
        <w:textAlignment w:val="baseline"/>
      </w:pPr>
      <w:r w:rsidRPr="00B14316">
        <w:t xml:space="preserve">Obtaining informed consent can become a contentious issue if the parents are recently separated and custody of the children has not yet been decided (Bartlett, p. 280). There is typically a provisional order outlining temporary custody. Barring a specific court order to the contrary, both parents have the right to consent to treatment for their child. Clinicians should ask for a copy of this provisional order, as well as a copy once a final divorce decree has been issued. If </w:t>
      </w:r>
      <w:r w:rsidRPr="00B14316">
        <w:lastRenderedPageBreak/>
        <w:t>there is joint legal custody and one parent is against treatment, this parent would be hard pressed to explain their rationale to the judge to have a court order barring treatment. While this might take care of the legal issue involved in this dilemma, the clinical issues abound. Involvement of the noncustodial parent, as well as loyalty issues for the child about treatment will be difficult.</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55" w:anchor="toc" w:tooltip="Special Ethical Issues When Working with Children" w:history="1">
        <w:r w:rsidRPr="00B14316">
          <w:rPr>
            <w:rStyle w:val="Hyperlink"/>
            <w:rFonts w:ascii="Times New Roman" w:hAnsi="Times New Roman" w:cs="Times New Roman"/>
            <w:color w:val="005BC6"/>
            <w:sz w:val="24"/>
            <w:szCs w:val="24"/>
            <w:bdr w:val="none" w:sz="0" w:space="0" w:color="auto" w:frame="1"/>
          </w:rPr>
          <w:t>Special Ethical Issues When Working with Children</w:t>
        </w:r>
      </w:hyperlink>
    </w:p>
    <w:p w:rsidR="00CE16ED" w:rsidRPr="00B14316" w:rsidRDefault="00CE16ED" w:rsidP="00CE16ED">
      <w:pPr>
        <w:pStyle w:val="body-paragraph"/>
        <w:spacing w:before="0" w:beforeAutospacing="0" w:after="0" w:afterAutospacing="0"/>
        <w:textAlignment w:val="baseline"/>
      </w:pPr>
      <w:r w:rsidRPr="00B14316">
        <w:t>Psychotherapy with children raises numerous ethical issues that are specific to working with this population. The remainder of this chapter discusses several of these issues that warrant special consideration.</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56" w:anchor="toc" w:tooltip="Role of the psychotherapist in working with children of divorce" w:history="1">
        <w:r w:rsidRPr="00B14316">
          <w:rPr>
            <w:rStyle w:val="Hyperlink"/>
            <w:rFonts w:ascii="Times New Roman" w:hAnsi="Times New Roman" w:cs="Times New Roman"/>
            <w:color w:val="005BC6"/>
            <w:sz w:val="24"/>
            <w:szCs w:val="24"/>
            <w:bdr w:val="none" w:sz="0" w:space="0" w:color="auto" w:frame="1"/>
          </w:rPr>
          <w:t>Role of the psychotherapist in working with children of divorce</w:t>
        </w:r>
      </w:hyperlink>
    </w:p>
    <w:p w:rsidR="00CE16ED" w:rsidRPr="00B14316" w:rsidRDefault="00CE16ED" w:rsidP="00CE16ED">
      <w:pPr>
        <w:pStyle w:val="body-paragraph"/>
        <w:spacing w:before="0" w:beforeAutospacing="0" w:after="0" w:afterAutospacing="0"/>
        <w:textAlignment w:val="baseline"/>
      </w:pPr>
      <w:r w:rsidRPr="00B14316">
        <w:t xml:space="preserve">One area in which counsellors are most vulnerable to charges of ethical misconduct is when working with children and families of divorce. Often parents are locked in ongoing bitter legal battles over child custody, visitation, support payments, and myriad other </w:t>
      </w:r>
      <w:proofErr w:type="spellStart"/>
      <w:r w:rsidRPr="00B14316">
        <w:t>postdecree</w:t>
      </w:r>
      <w:proofErr w:type="spellEnd"/>
      <w:r w:rsidRPr="00B14316">
        <w:t xml:space="preserve"> issues. Divorce and </w:t>
      </w:r>
      <w:proofErr w:type="spellStart"/>
      <w:r w:rsidRPr="00B14316">
        <w:t>postdivorce</w:t>
      </w:r>
      <w:proofErr w:type="spellEnd"/>
      <w:r w:rsidRPr="00B14316">
        <w:t xml:space="preserve"> situations are often emotionally charged, and pull children into destructive loyalty conflicts. In addition, lawyers work within an adversarial system, and counsellors work in a collaborative system. These differing systems can lead to misunderstandings and frustrations for both professions.</w:t>
      </w:r>
    </w:p>
    <w:p w:rsidR="00CE16ED" w:rsidRPr="00B14316" w:rsidRDefault="00CE16ED" w:rsidP="00CE16ED">
      <w:pPr>
        <w:pStyle w:val="body-paragraph"/>
        <w:spacing w:before="0" w:beforeAutospacing="0" w:after="0" w:afterAutospacing="0"/>
        <w:textAlignment w:val="baseline"/>
      </w:pPr>
      <w:r w:rsidRPr="00B14316">
        <w:t>Counsellors can play many potential roles in custody cases. Due to the potential litigation that surrounds custody evaluations, it is wise for counsellors to clearly define their roles when working with the child and his or her family. These roles as outlined by Woody ([ </w:t>
      </w:r>
      <w:hyperlink r:id="rId57" w:anchor="bib39" w:tooltip="39" w:history="1">
        <w:r w:rsidRPr="00B14316">
          <w:rPr>
            <w:rStyle w:val="Hyperlink"/>
            <w:color w:val="005BC6"/>
            <w:bdr w:val="none" w:sz="0" w:space="0" w:color="auto" w:frame="1"/>
          </w:rPr>
          <w:t>39</w:t>
        </w:r>
      </w:hyperlink>
      <w:r w:rsidRPr="00B14316">
        <w:t>] , p. 74) include: ( </w:t>
      </w:r>
      <w:hyperlink r:id="rId58" w:anchor="bib1" w:tooltip="1" w:history="1">
        <w:r w:rsidRPr="00B14316">
          <w:rPr>
            <w:rStyle w:val="Hyperlink"/>
            <w:color w:val="005BC6"/>
            <w:bdr w:val="none" w:sz="0" w:space="0" w:color="auto" w:frame="1"/>
          </w:rPr>
          <w:t>1</w:t>
        </w:r>
      </w:hyperlink>
      <w:r w:rsidRPr="00B14316">
        <w:t>) the treating counsellor for the child, parents or family (this could occur before, during, or after the divorce); ( </w:t>
      </w:r>
      <w:hyperlink r:id="rId59" w:anchor="bib2" w:tooltip="2" w:history="1">
        <w:r w:rsidRPr="00B14316">
          <w:rPr>
            <w:rStyle w:val="Hyperlink"/>
            <w:color w:val="005BC6"/>
            <w:bdr w:val="none" w:sz="0" w:space="0" w:color="auto" w:frame="1"/>
          </w:rPr>
          <w:t>2</w:t>
        </w:r>
      </w:hyperlink>
      <w:r w:rsidRPr="00B14316">
        <w:t>) the evaluator in the custody dispute, evaluating the psychological characteristics of the relevant adults; ( </w:t>
      </w:r>
      <w:hyperlink r:id="rId60" w:anchor="bib3" w:tooltip="3" w:history="1">
        <w:r w:rsidRPr="00B14316">
          <w:rPr>
            <w:rStyle w:val="Hyperlink"/>
            <w:color w:val="005BC6"/>
            <w:bdr w:val="none" w:sz="0" w:space="0" w:color="auto" w:frame="1"/>
          </w:rPr>
          <w:t>3</w:t>
        </w:r>
      </w:hyperlink>
      <w:r w:rsidRPr="00B14316">
        <w:t>) the guardian ad litem for the child or children; ( </w:t>
      </w:r>
      <w:hyperlink r:id="rId61" w:anchor="bib4" w:tooltip="4" w:history="1">
        <w:r w:rsidRPr="00B14316">
          <w:rPr>
            <w:rStyle w:val="Hyperlink"/>
            <w:color w:val="005BC6"/>
            <w:bdr w:val="none" w:sz="0" w:space="0" w:color="auto" w:frame="1"/>
          </w:rPr>
          <w:t>4</w:t>
        </w:r>
      </w:hyperlink>
      <w:r w:rsidRPr="00B14316">
        <w:t>) the mediator to resolve the disputes between the parents; or ( </w:t>
      </w:r>
      <w:hyperlink r:id="rId62" w:anchor="bib5" w:tooltip="5" w:history="1">
        <w:r w:rsidRPr="00B14316">
          <w:rPr>
            <w:rStyle w:val="Hyperlink"/>
            <w:color w:val="005BC6"/>
            <w:bdr w:val="none" w:sz="0" w:space="0" w:color="auto" w:frame="1"/>
          </w:rPr>
          <w:t>5</w:t>
        </w:r>
      </w:hyperlink>
      <w:r w:rsidRPr="00B14316">
        <w:t>) the expert critic, who evaluates the validity of the testimony given by other mental health professionals.</w:t>
      </w:r>
    </w:p>
    <w:p w:rsidR="00CE16ED" w:rsidRPr="00B14316" w:rsidRDefault="00CE16ED" w:rsidP="00CE16ED">
      <w:pPr>
        <w:pStyle w:val="body-paragraph"/>
        <w:spacing w:before="0" w:beforeAutospacing="0" w:after="0" w:afterAutospacing="0"/>
        <w:textAlignment w:val="baseline"/>
      </w:pPr>
      <w:r w:rsidRPr="00B14316">
        <w:t>Bartlett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 \o "3" </w:instrText>
      </w:r>
      <w:r w:rsidRPr="00B14316">
        <w:fldChar w:fldCharType="separate"/>
      </w:r>
      <w:r w:rsidRPr="00B14316">
        <w:rPr>
          <w:rStyle w:val="Hyperlink"/>
          <w:color w:val="005BC6"/>
          <w:bdr w:val="none" w:sz="0" w:space="0" w:color="auto" w:frame="1"/>
        </w:rPr>
        <w:t>3</w:t>
      </w:r>
      <w:r w:rsidRPr="00B14316">
        <w:fldChar w:fldCharType="end"/>
      </w:r>
      <w:r w:rsidRPr="00B14316">
        <w:t xml:space="preserve">] ) has several suggestions for counsellors working with children of divorce. First, it is vital to clarify your role with the child and the parents. Identify who the real client is, and specify if your role is to provide individual or family treatment, to do a custody evaluation, be a guardian ad litem, or perform mediation with the parents. For example, if your role is to do family counselling you should not offer an opinion in court regarding the custody of the children. Make this clear to the family or you risk family members ‘positioning’ to look good, rather than focusing on keeping the children's interests primary to therapy. Second, </w:t>
      </w:r>
      <w:proofErr w:type="spellStart"/>
      <w:r w:rsidRPr="00B14316">
        <w:t>emphasise</w:t>
      </w:r>
      <w:proofErr w:type="spellEnd"/>
      <w:r w:rsidRPr="00B14316">
        <w:t xml:space="preserve"> to parents the importance of focusing on the child's welfare, and clarify who you will communicate with and how. Explain that you will not take sides, and that harm is done when a child is caught in the middle of parental conflict (also see Hecker &amp; </w:t>
      </w:r>
      <w:proofErr w:type="spellStart"/>
      <w:r w:rsidRPr="00B14316">
        <w:t>Sori</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"bib13" \o "13" </w:instrText>
      </w:r>
      <w:r w:rsidRPr="00B14316">
        <w:fldChar w:fldCharType="separate"/>
      </w:r>
      <w:r w:rsidRPr="00B14316">
        <w:rPr>
          <w:rStyle w:val="Hyperlink"/>
          <w:color w:val="005BC6"/>
          <w:bdr w:val="none" w:sz="0" w:space="0" w:color="auto" w:frame="1"/>
        </w:rPr>
        <w:t>13</w:t>
      </w:r>
      <w:r w:rsidRPr="00B14316">
        <w:fldChar w:fldCharType="end"/>
      </w:r>
      <w:r w:rsidRPr="00B14316">
        <w:t>] ). Third, establish ground rules and, if doing an evaluation, discuss to whom it will be sent. If permitted in your state, Bartlett suggests asking parents to sign a waiver of the right to subpoena your records. We suggest doing this whenever families with children are seen, as any couple could decide to divorce at some future date and attempt to subpoena records of past counselling. Such a waiver discourages parents from attempting to negate a child's confidentiality in the throes of a legal battle, though such waivers are not legally binding.</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63" w:anchor="toc" w:tooltip="Competencies" w:history="1">
        <w:r w:rsidRPr="00B14316">
          <w:rPr>
            <w:rStyle w:val="Hyperlink"/>
            <w:rFonts w:ascii="Times New Roman" w:hAnsi="Times New Roman" w:cs="Times New Roman"/>
            <w:color w:val="005BC6"/>
            <w:sz w:val="24"/>
            <w:szCs w:val="24"/>
            <w:bdr w:val="none" w:sz="0" w:space="0" w:color="auto" w:frame="1"/>
          </w:rPr>
          <w:t>Competencies</w:t>
        </w:r>
      </w:hyperlink>
    </w:p>
    <w:p w:rsidR="00CE16ED" w:rsidRPr="00B14316" w:rsidRDefault="00CE16ED" w:rsidP="00CE16ED">
      <w:pPr>
        <w:pStyle w:val="body-paragraph"/>
        <w:spacing w:before="0" w:beforeAutospacing="0" w:after="0" w:afterAutospacing="0"/>
        <w:textAlignment w:val="baseline"/>
      </w:pPr>
      <w:r w:rsidRPr="00B14316">
        <w:t xml:space="preserve">All mental health professional codes of ethics prohibit professionals from practicing outside their area of competence (Thompson &amp; Rudolph,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"bib37" \o "37" </w:instrText>
      </w:r>
      <w:r w:rsidRPr="00B14316">
        <w:fldChar w:fldCharType="separate"/>
      </w:r>
      <w:r w:rsidRPr="00B14316">
        <w:rPr>
          <w:rStyle w:val="Hyperlink"/>
          <w:color w:val="005BC6"/>
          <w:bdr w:val="none" w:sz="0" w:space="0" w:color="auto" w:frame="1"/>
        </w:rPr>
        <w:t>37</w:t>
      </w:r>
      <w:r w:rsidRPr="00B14316">
        <w:fldChar w:fldCharType="end"/>
      </w:r>
      <w:r w:rsidRPr="00B14316">
        <w:t xml:space="preserve">] ). Counsellors need to be well trained and follow what is legally referred to as an appropriate standard of care (Hecker,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"bib11" \o "11" </w:instrText>
      </w:r>
      <w:r w:rsidRPr="00B14316">
        <w:fldChar w:fldCharType="separate"/>
      </w:r>
      <w:r w:rsidRPr="00B14316">
        <w:rPr>
          <w:rStyle w:val="Hyperlink"/>
          <w:color w:val="005BC6"/>
          <w:bdr w:val="none" w:sz="0" w:space="0" w:color="auto" w:frame="1"/>
        </w:rPr>
        <w:t>11</w:t>
      </w:r>
      <w:r w:rsidRPr="00B14316">
        <w:fldChar w:fldCharType="end"/>
      </w:r>
      <w:r w:rsidRPr="00B14316">
        <w:t xml:space="preserve">] ), in which a counsellor acts in ways that most counsellors would treat a case under similar circumstances. </w:t>
      </w:r>
      <w:r w:rsidRPr="00B14316">
        <w:lastRenderedPageBreak/>
        <w:t xml:space="preserve">Practicing outside one's area of competence is one of the most common types of malpractice claims (Stromberg &amp; Dellinger,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"bib34" \o "34" </w:instrText>
      </w:r>
      <w:r w:rsidRPr="00B14316">
        <w:fldChar w:fldCharType="separate"/>
      </w:r>
      <w:r w:rsidRPr="00B14316">
        <w:rPr>
          <w:rStyle w:val="Hyperlink"/>
          <w:color w:val="005BC6"/>
          <w:bdr w:val="none" w:sz="0" w:space="0" w:color="auto" w:frame="1"/>
        </w:rPr>
        <w:t>34</w:t>
      </w:r>
      <w:r w:rsidRPr="00B14316">
        <w:fldChar w:fldCharType="end"/>
      </w:r>
      <w:r w:rsidRPr="00B14316">
        <w:t>] ).</w:t>
      </w:r>
    </w:p>
    <w:p w:rsidR="00CE16ED" w:rsidRPr="00B14316" w:rsidRDefault="00CE16ED" w:rsidP="00CE16ED">
      <w:pPr>
        <w:pStyle w:val="body-paragraph"/>
        <w:spacing w:before="0" w:beforeAutospacing="0" w:after="0" w:afterAutospacing="0"/>
        <w:textAlignment w:val="baseline"/>
      </w:pPr>
      <w:r w:rsidRPr="00B14316">
        <w:t>Special skills and techniques are necessary to work with children individually or in a family setting (</w:t>
      </w:r>
      <w:proofErr w:type="spellStart"/>
      <w:r w:rsidRPr="00B14316">
        <w:t>Sori</w:t>
      </w:r>
      <w:proofErr w:type="spellEnd"/>
      <w:r w:rsidRPr="00B14316">
        <w:t>, [ </w:t>
      </w:r>
      <w:hyperlink r:id="rId64" w:anchor="bib30" w:tooltip="30" w:history="1">
        <w:r w:rsidRPr="00B14316">
          <w:rPr>
            <w:rStyle w:val="Hyperlink"/>
            <w:color w:val="005BC6"/>
            <w:bdr w:val="none" w:sz="0" w:space="0" w:color="auto" w:frame="1"/>
          </w:rPr>
          <w:t>30</w:t>
        </w:r>
      </w:hyperlink>
      <w:r w:rsidRPr="00B14316">
        <w:t xml:space="preserve">] ; </w:t>
      </w:r>
      <w:proofErr w:type="spellStart"/>
      <w:r w:rsidRPr="00B14316">
        <w:t>Sori</w:t>
      </w:r>
      <w:proofErr w:type="spellEnd"/>
      <w:r w:rsidRPr="00B14316">
        <w:t xml:space="preserve"> &amp; </w:t>
      </w:r>
      <w:proofErr w:type="spellStart"/>
      <w:r w:rsidRPr="00B14316">
        <w:t>Sprenkle</w:t>
      </w:r>
      <w:proofErr w:type="spellEnd"/>
      <w:r w:rsidRPr="00B14316">
        <w:t>, [ </w:t>
      </w:r>
      <w:hyperlink r:id="rId65" w:anchor="bib32" w:tooltip="32" w:history="1">
        <w:r w:rsidRPr="00B14316">
          <w:rPr>
            <w:rStyle w:val="Hyperlink"/>
            <w:color w:val="005BC6"/>
            <w:bdr w:val="none" w:sz="0" w:space="0" w:color="auto" w:frame="1"/>
          </w:rPr>
          <w:t>32</w:t>
        </w:r>
      </w:hyperlink>
      <w:r w:rsidRPr="00B14316">
        <w:t xml:space="preserve">] ). Lawrence and </w:t>
      </w:r>
      <w:proofErr w:type="spellStart"/>
      <w:r w:rsidRPr="00B14316">
        <w:t>Kurpius</w:t>
      </w:r>
      <w:proofErr w:type="spellEnd"/>
      <w:r w:rsidRPr="00B14316">
        <w:t xml:space="preserve"> ([ </w:t>
      </w:r>
      <w:hyperlink r:id="rId66" w:anchor="bib19" w:tooltip="19" w:history="1">
        <w:r w:rsidRPr="00B14316">
          <w:rPr>
            <w:rStyle w:val="Hyperlink"/>
            <w:color w:val="005BC6"/>
            <w:bdr w:val="none" w:sz="0" w:space="0" w:color="auto" w:frame="1"/>
          </w:rPr>
          <w:t>19</w:t>
        </w:r>
      </w:hyperlink>
      <w:r w:rsidRPr="00B14316">
        <w:t xml:space="preserve">] ) point out that a counsellor who is skilled and effective in working with adults may not have the same level of effectiveness when treating children or adolescents, which requires ‘areas of knowledge and skills that are unique to working with children’ (p. 132). Certain disorders, such as separation anxiety disorder, reactive detachment disorder, oppositional defiant disorder, enuresis, encopresis, ADHD, and trichotillomania, for which parents often seek professional help, mostly affect children. As Lawrence and </w:t>
      </w:r>
      <w:proofErr w:type="spellStart"/>
      <w:r w:rsidRPr="00B14316">
        <w:t>Kurpius</w:t>
      </w:r>
      <w:proofErr w:type="spellEnd"/>
      <w:r w:rsidRPr="00B14316">
        <w:t xml:space="preserve"> point out, one cannot apply an understanding of adult issues to children's problems. ‘Because minors are a special, diverse client population, ethical practice mandates distinct education, training, and supervised practice before commencing independent practice that includes minors’ (Lawrence &amp; </w:t>
      </w:r>
      <w:proofErr w:type="spellStart"/>
      <w:r w:rsidRPr="00B14316">
        <w:t>Kurpius</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"bib19" \o "19" </w:instrText>
      </w:r>
      <w:r w:rsidRPr="00B14316">
        <w:fldChar w:fldCharType="separate"/>
      </w:r>
      <w:r w:rsidRPr="00B14316">
        <w:rPr>
          <w:rStyle w:val="Hyperlink"/>
          <w:color w:val="005BC6"/>
          <w:bdr w:val="none" w:sz="0" w:space="0" w:color="auto" w:frame="1"/>
        </w:rPr>
        <w:t>19</w:t>
      </w:r>
      <w:r w:rsidRPr="00B14316">
        <w:fldChar w:fldCharType="end"/>
      </w:r>
      <w:r w:rsidRPr="00B14316">
        <w:t xml:space="preserve">] , p. 133). (See </w:t>
      </w:r>
      <w:proofErr w:type="spellStart"/>
      <w:r w:rsidRPr="00B14316">
        <w:t>Sori</w:t>
      </w:r>
      <w:proofErr w:type="spellEnd"/>
      <w:r w:rsidRPr="00B14316">
        <w:t xml:space="preserve"> for an in‐depth discussion of the training necessary to prepare counsellors to work with children and families.) Therefore, counsellors who have not had adequate training to treat children are not meeting an appropriate standard of care.</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67" w:anchor="toc" w:tooltip="Use of touch" w:history="1">
        <w:r w:rsidRPr="00B14316">
          <w:rPr>
            <w:rStyle w:val="Hyperlink"/>
            <w:rFonts w:ascii="Times New Roman" w:hAnsi="Times New Roman" w:cs="Times New Roman"/>
            <w:color w:val="005BC6"/>
            <w:sz w:val="24"/>
            <w:szCs w:val="24"/>
            <w:bdr w:val="none" w:sz="0" w:space="0" w:color="auto" w:frame="1"/>
          </w:rPr>
          <w:t>Use of touch</w:t>
        </w:r>
      </w:hyperlink>
    </w:p>
    <w:p w:rsidR="00CE16ED" w:rsidRPr="00B14316" w:rsidRDefault="00CE16ED" w:rsidP="00CE16ED">
      <w:pPr>
        <w:pStyle w:val="body-paragraph"/>
        <w:spacing w:before="0" w:beforeAutospacing="0" w:after="0" w:afterAutospacing="0"/>
        <w:textAlignment w:val="baseline"/>
      </w:pPr>
      <w:r w:rsidRPr="00B14316">
        <w:t xml:space="preserve">There is little in the literature regarding ethical considerations about the occurrence of </w:t>
      </w:r>
      <w:proofErr w:type="spellStart"/>
      <w:r w:rsidRPr="00B14316">
        <w:t>nonerotic</w:t>
      </w:r>
      <w:proofErr w:type="spellEnd"/>
      <w:r w:rsidRPr="00B14316">
        <w:t xml:space="preserve"> touch in therapy. McNeil‐Haber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"bib23" \o "23" </w:instrText>
      </w:r>
      <w:r w:rsidRPr="00B14316">
        <w:fldChar w:fldCharType="separate"/>
      </w:r>
      <w:r w:rsidRPr="00B14316">
        <w:rPr>
          <w:rStyle w:val="Hyperlink"/>
          <w:color w:val="005BC6"/>
          <w:bdr w:val="none" w:sz="0" w:space="0" w:color="auto" w:frame="1"/>
        </w:rPr>
        <w:t>23</w:t>
      </w:r>
      <w:r w:rsidRPr="00B14316">
        <w:fldChar w:fldCharType="end"/>
      </w:r>
      <w:r w:rsidRPr="00B14316">
        <w:t xml:space="preserve">] ) contends that it is difficult to </w:t>
      </w:r>
      <w:proofErr w:type="spellStart"/>
      <w:r w:rsidRPr="00B14316">
        <w:t>counsell</w:t>
      </w:r>
      <w:proofErr w:type="spellEnd"/>
      <w:r w:rsidRPr="00B14316">
        <w:t xml:space="preserve"> young children without some form of touch. Touch is natural and developmentally appropriate for young children, and is a major component in children's play. When touch is initiated by a child in counselling, it presents an opportunity to discuss personal boundaries and differences in how people feel about being touched. However, care must be taken when discussing child‐initiated touch that children don't feel shamed or rejected when the counsellor is setting appropriate boundaries.</w:t>
      </w:r>
    </w:p>
    <w:p w:rsidR="00CE16ED" w:rsidRPr="00B14316" w:rsidRDefault="00CE16ED" w:rsidP="00CE16ED">
      <w:pPr>
        <w:pStyle w:val="body-paragraph"/>
        <w:spacing w:before="0" w:beforeAutospacing="0" w:after="0" w:afterAutospacing="0"/>
        <w:textAlignment w:val="baseline"/>
      </w:pPr>
      <w:r w:rsidRPr="00B14316">
        <w:t>McNeil‐Haber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"bib23" \o "23" </w:instrText>
      </w:r>
      <w:r w:rsidRPr="00B14316">
        <w:fldChar w:fldCharType="separate"/>
      </w:r>
      <w:r w:rsidRPr="00B14316">
        <w:rPr>
          <w:rStyle w:val="Hyperlink"/>
          <w:color w:val="005BC6"/>
          <w:bdr w:val="none" w:sz="0" w:space="0" w:color="auto" w:frame="1"/>
        </w:rPr>
        <w:t>23</w:t>
      </w:r>
      <w:r w:rsidRPr="00B14316">
        <w:fldChar w:fldCharType="end"/>
      </w:r>
      <w:r w:rsidRPr="00B14316">
        <w:t>] ) offers the following guidelines in making case by case ethical decisions (p. 128):</w:t>
      </w:r>
    </w:p>
    <w:p w:rsidR="00CE16ED" w:rsidRPr="00B14316" w:rsidRDefault="00CE16ED" w:rsidP="00CE16ED">
      <w:pPr>
        <w:pStyle w:val="body-paragraph"/>
        <w:spacing w:before="0" w:beforeAutospacing="0" w:after="0" w:afterAutospacing="0"/>
        <w:textAlignment w:val="baseline"/>
      </w:pPr>
      <w:r w:rsidRPr="00B14316">
        <w:t>What are the possible benefits of touch? Touch can be reinforcing and calming.</w:t>
      </w:r>
    </w:p>
    <w:p w:rsidR="00CE16ED" w:rsidRPr="00B14316" w:rsidRDefault="00CE16ED" w:rsidP="00CE16ED">
      <w:pPr>
        <w:pStyle w:val="body-paragraph"/>
        <w:spacing w:before="0" w:beforeAutospacing="0" w:after="0" w:afterAutospacing="0"/>
        <w:textAlignment w:val="baseline"/>
      </w:pPr>
      <w:r w:rsidRPr="00B14316">
        <w:t>How might this child perceive the touch? It could enhance self‐esteem or make the child feel powerless to comment on it.</w:t>
      </w:r>
    </w:p>
    <w:p w:rsidR="00CE16ED" w:rsidRPr="00B14316" w:rsidRDefault="00CE16ED" w:rsidP="00CE16ED">
      <w:pPr>
        <w:pStyle w:val="body-paragraph"/>
        <w:spacing w:before="0" w:beforeAutospacing="0" w:after="0" w:afterAutospacing="0"/>
        <w:textAlignment w:val="baseline"/>
      </w:pPr>
      <w:r w:rsidRPr="00B14316">
        <w:t>What considerations are related to the counsellor? Whose needs are being met? Is touch genuine?</w:t>
      </w:r>
    </w:p>
    <w:p w:rsidR="00CE16ED" w:rsidRPr="00B14316" w:rsidRDefault="00CE16ED" w:rsidP="00CE16ED">
      <w:pPr>
        <w:pStyle w:val="body-paragraph"/>
        <w:spacing w:before="0" w:beforeAutospacing="0" w:after="0" w:afterAutospacing="0"/>
        <w:textAlignment w:val="baseline"/>
      </w:pPr>
      <w:r w:rsidRPr="00B14316">
        <w:t>What safety issues are related to the child? Is it harmful to the child? Does this child have a history of abuse? If so, touch could be alarming. (Abused children have trouble separating fact from fantasy.)</w:t>
      </w:r>
    </w:p>
    <w:p w:rsidR="00CE16ED" w:rsidRPr="00B14316" w:rsidRDefault="00CE16ED" w:rsidP="00CE16ED">
      <w:pPr>
        <w:pStyle w:val="body-paragraph"/>
        <w:spacing w:before="0" w:beforeAutospacing="0" w:after="0" w:afterAutospacing="0"/>
        <w:textAlignment w:val="baseline"/>
      </w:pPr>
      <w:r w:rsidRPr="00B14316">
        <w:t>What in this child's family background might be an issue?</w:t>
      </w:r>
    </w:p>
    <w:p w:rsidR="00CE16ED" w:rsidRPr="00B14316" w:rsidRDefault="00CE16ED" w:rsidP="00CE16ED">
      <w:pPr>
        <w:pStyle w:val="body-paragraph"/>
        <w:spacing w:before="0" w:beforeAutospacing="0" w:after="0" w:afterAutospacing="0"/>
        <w:textAlignment w:val="baseline"/>
      </w:pPr>
      <w:r w:rsidRPr="00B14316">
        <w:t xml:space="preserve">What are some practical considerations? Culture should be considered, as people from different cultural backgrounds have different attitudes toward using touch as a means of emotional expression, or in </w:t>
      </w:r>
      <w:proofErr w:type="spellStart"/>
      <w:r w:rsidRPr="00B14316">
        <w:t>socialising</w:t>
      </w:r>
      <w:proofErr w:type="spellEnd"/>
      <w:r w:rsidRPr="00B14316">
        <w:t xml:space="preserve"> children.</w:t>
      </w:r>
    </w:p>
    <w:p w:rsidR="00CE16ED" w:rsidRPr="00B14316" w:rsidRDefault="00CE16ED" w:rsidP="00CE16ED">
      <w:pPr>
        <w:pStyle w:val="body-paragraph"/>
        <w:spacing w:before="0" w:beforeAutospacing="0" w:after="0" w:afterAutospacing="0"/>
        <w:textAlignment w:val="baseline"/>
      </w:pPr>
      <w:r w:rsidRPr="00B14316">
        <w:t>At the onset of therapy, counsellors should discuss touch with children, inform parents about the use of touch, and ask permission to use touch when appropriate. Parents should be informed as to how touch might be used (e.g., a hug at the end of a session, to prevent a child from harm, or for encouragement). In addition, because a child may act out during session to the degree that the counsellor needs to intervene to prevent harm from the child, self, or property, parents should be consulted before individual treatment to explore their wishes with regard to in‐session discipline.</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68" w:anchor="toc" w:tooltip="Multicultural considerations when seeing children in families" w:history="1">
        <w:r w:rsidRPr="00B14316">
          <w:rPr>
            <w:rStyle w:val="Hyperlink"/>
            <w:rFonts w:ascii="Times New Roman" w:hAnsi="Times New Roman" w:cs="Times New Roman"/>
            <w:color w:val="005BC6"/>
            <w:sz w:val="24"/>
            <w:szCs w:val="24"/>
            <w:bdr w:val="none" w:sz="0" w:space="0" w:color="auto" w:frame="1"/>
          </w:rPr>
          <w:t>Multicultural considerations when seeing children in families</w:t>
        </w:r>
      </w:hyperlink>
    </w:p>
    <w:p w:rsidR="00CE16ED" w:rsidRPr="00B14316" w:rsidRDefault="00CE16ED" w:rsidP="00CE16ED">
      <w:pPr>
        <w:pStyle w:val="body-paragraph"/>
        <w:spacing w:before="0" w:beforeAutospacing="0" w:after="0" w:afterAutospacing="0"/>
        <w:textAlignment w:val="baseline"/>
      </w:pPr>
      <w:r w:rsidRPr="00B14316">
        <w:t>When seeing children and their families, the context of culture should be assessed before making therapeutic judgments and interventions. Cheung and Hong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"bib7" \o "7" </w:instrText>
      </w:r>
      <w:r w:rsidRPr="00B14316">
        <w:fldChar w:fldCharType="separate"/>
      </w:r>
      <w:r w:rsidRPr="00B14316">
        <w:rPr>
          <w:rStyle w:val="Hyperlink"/>
          <w:color w:val="005BC6"/>
          <w:bdr w:val="none" w:sz="0" w:space="0" w:color="auto" w:frame="1"/>
        </w:rPr>
        <w:t>7</w:t>
      </w:r>
      <w:r w:rsidRPr="00B14316">
        <w:fldChar w:fldCharType="end"/>
      </w:r>
      <w:r w:rsidRPr="00B14316">
        <w:t xml:space="preserve">] ) note several value differences that may occur when seeing families from other cultures. First, most family therapy models </w:t>
      </w:r>
      <w:proofErr w:type="spellStart"/>
      <w:r w:rsidRPr="00B14316">
        <w:t>emphasise</w:t>
      </w:r>
      <w:proofErr w:type="spellEnd"/>
      <w:r w:rsidRPr="00B14316">
        <w:t xml:space="preserve"> individualistic orientation, helping members to achieve independence, individuation, identity and </w:t>
      </w:r>
      <w:proofErr w:type="spellStart"/>
      <w:r w:rsidRPr="00B14316">
        <w:t>self esteem</w:t>
      </w:r>
      <w:proofErr w:type="spellEnd"/>
      <w:r w:rsidRPr="00B14316">
        <w:t xml:space="preserve">. Other non‐European‐American cultures are collectivistic and ‘value mutuality and collective welfare, the closeness between parent and children, dependence of children on their parents, and a firm family hierarchy’ (Cheung &amp; Hong,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"bib7" \o "7" </w:instrText>
      </w:r>
      <w:r w:rsidRPr="00B14316">
        <w:fldChar w:fldCharType="separate"/>
      </w:r>
      <w:r w:rsidRPr="00B14316">
        <w:rPr>
          <w:rStyle w:val="Hyperlink"/>
          <w:color w:val="005BC6"/>
          <w:bdr w:val="none" w:sz="0" w:space="0" w:color="auto" w:frame="1"/>
        </w:rPr>
        <w:t>7</w:t>
      </w:r>
      <w:r w:rsidRPr="00B14316">
        <w:fldChar w:fldCharType="end"/>
      </w:r>
      <w:r w:rsidRPr="00B14316">
        <w:t xml:space="preserve">] , p. 14). In addition, dissimilar cultures may embrace different familial values, norms and roles, calling for understanding counsellors who have a willingness to examine the constructs of our established theories (Cheung &amp; Hong,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"bib7" \o "7" </w:instrText>
      </w:r>
      <w:r w:rsidRPr="00B14316">
        <w:fldChar w:fldCharType="separate"/>
      </w:r>
      <w:r w:rsidRPr="00B14316">
        <w:rPr>
          <w:rStyle w:val="Hyperlink"/>
          <w:color w:val="005BC6"/>
          <w:bdr w:val="none" w:sz="0" w:space="0" w:color="auto" w:frame="1"/>
        </w:rPr>
        <w:t>7</w:t>
      </w:r>
      <w:r w:rsidRPr="00B14316">
        <w:fldChar w:fldCharType="end"/>
      </w:r>
      <w:r w:rsidRPr="00B14316">
        <w:t>] , p. 15) and to be sensitive to the values of each culture.</w:t>
      </w:r>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hyperlink r:id="rId69" w:anchor="toc" w:tooltip="Conclusion" w:history="1">
        <w:r w:rsidRPr="00B14316">
          <w:rPr>
            <w:rStyle w:val="Hyperlink"/>
            <w:rFonts w:ascii="Times New Roman" w:hAnsi="Times New Roman" w:cs="Times New Roman"/>
            <w:color w:val="005BC6"/>
            <w:sz w:val="24"/>
            <w:szCs w:val="24"/>
            <w:bdr w:val="none" w:sz="0" w:space="0" w:color="auto" w:frame="1"/>
          </w:rPr>
          <w:t>Conclusion</w:t>
        </w:r>
      </w:hyperlink>
    </w:p>
    <w:p w:rsidR="00CE16ED" w:rsidRPr="00B14316" w:rsidRDefault="00CE16ED" w:rsidP="00CE16ED">
      <w:pPr>
        <w:pStyle w:val="body-paragraph"/>
        <w:spacing w:before="0" w:beforeAutospacing="0" w:after="0" w:afterAutospacing="0"/>
        <w:textAlignment w:val="baseline"/>
      </w:pPr>
      <w:r w:rsidRPr="00B14316">
        <w:t xml:space="preserve">There is much to consider in avoiding the numerous potential pitfalls that could inadvertently result in legal and ethical problems. Of note is the difference between parental and children's rights in treatment. Children have few rights, except those bestowed by state statute, and counsellors must work to protect the sanctity of the counselling relationship. Counsellors should remain </w:t>
      </w:r>
      <w:proofErr w:type="spellStart"/>
      <w:r w:rsidRPr="00B14316">
        <w:t>cognisant</w:t>
      </w:r>
      <w:proofErr w:type="spellEnd"/>
      <w:r w:rsidRPr="00B14316">
        <w:t xml:space="preserve"> of the vulnerability of children and adolescents, have a broad repertoire of developmental and topical information regarding children, work with the larger systems within which children are embedded (e.g., families, agencies, and schools) and seek education, consultation, and advice (Roberts &amp; Dyer, [ </w:t>
      </w:r>
      <w:hyperlink r:id="rId70" w:anchor="bib27" w:tooltip="27" w:history="1">
        <w:r w:rsidRPr="00B14316">
          <w:rPr>
            <w:rStyle w:val="Hyperlink"/>
            <w:color w:val="005BC6"/>
            <w:bdr w:val="none" w:sz="0" w:space="0" w:color="auto" w:frame="1"/>
          </w:rPr>
          <w:t>27</w:t>
        </w:r>
      </w:hyperlink>
      <w:r w:rsidRPr="00B14316">
        <w:t>] ).</w:t>
      </w:r>
    </w:p>
    <w:p w:rsidR="00CE16ED" w:rsidRPr="00B14316" w:rsidRDefault="00CE16ED" w:rsidP="00CE16ED">
      <w:pPr>
        <w:pStyle w:val="body-paragraph"/>
        <w:spacing w:before="0" w:beforeAutospacing="0" w:after="0" w:afterAutospacing="0"/>
        <w:textAlignment w:val="baseline"/>
      </w:pPr>
      <w:r w:rsidRPr="00B14316">
        <w:t xml:space="preserve">It is important for counsellors to review their professional code of ethics regularly, and to refresh their ethical skills and knowledge by gaining continuing education in ethics and legal issues. This training can keep clinicians abreast of new federal laws, state statutes, and case laws. Many professional </w:t>
      </w:r>
      <w:proofErr w:type="spellStart"/>
      <w:r w:rsidRPr="00B14316">
        <w:t>organisations</w:t>
      </w:r>
      <w:proofErr w:type="spellEnd"/>
      <w:r w:rsidRPr="00B14316">
        <w:t xml:space="preserve"> offer such training at conferences or via home study, and some liability insurance companies provide reduced rates to those who take advantage of additional ethics training. </w:t>
      </w:r>
      <w:proofErr w:type="gramStart"/>
      <w:r w:rsidRPr="00B14316">
        <w:t>Although client welfare and risk management must be carefully balanced when counselling children, numerous benefits to working with this population can be seen in the child, his family, and, ultimately, the future of our society.</w:t>
      </w:r>
      <w:proofErr w:type="gramEnd"/>
    </w:p>
    <w:p w:rsidR="00CE16ED" w:rsidRPr="00B14316" w:rsidRDefault="00CE16ED" w:rsidP="00CE16ED">
      <w:pPr>
        <w:pStyle w:val="Heading3"/>
        <w:spacing w:before="0"/>
        <w:textAlignment w:val="baseline"/>
        <w:rPr>
          <w:rFonts w:ascii="Times New Roman" w:hAnsi="Times New Roman" w:cs="Times New Roman"/>
          <w:sz w:val="24"/>
          <w:szCs w:val="24"/>
          <w:bdr w:val="none" w:sz="0" w:space="0" w:color="auto" w:frame="1"/>
        </w:rPr>
      </w:pPr>
    </w:p>
    <w:p w:rsidR="00CE16ED" w:rsidRPr="00B14316" w:rsidRDefault="00CE16ED" w:rsidP="00CE16ED">
      <w:pPr>
        <w:pStyle w:val="body-paragraph"/>
        <w:spacing w:before="0" w:beforeAutospacing="0" w:after="0" w:afterAutospacing="0"/>
        <w:textAlignment w:val="baseline"/>
      </w:pPr>
      <w:r w:rsidRPr="00B14316">
        <w:t xml:space="preserve">This article was originally published as a book chapter in </w:t>
      </w:r>
      <w:proofErr w:type="spellStart"/>
      <w:r w:rsidRPr="00B14316">
        <w:t>Sori</w:t>
      </w:r>
      <w:proofErr w:type="spellEnd"/>
      <w:r w:rsidRPr="00B14316">
        <w:t xml:space="preserve"> and Hecker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"bib31" \o "31" </w:instrText>
      </w:r>
      <w:r w:rsidRPr="00B14316">
        <w:fldChar w:fldCharType="separate"/>
      </w:r>
      <w:r w:rsidRPr="00B14316">
        <w:rPr>
          <w:rStyle w:val="Hyperlink"/>
          <w:color w:val="005BC6"/>
          <w:bdr w:val="none" w:sz="0" w:space="0" w:color="auto" w:frame="1"/>
        </w:rPr>
        <w:t>31</w:t>
      </w:r>
      <w:r w:rsidRPr="00B14316">
        <w:fldChar w:fldCharType="end"/>
      </w:r>
      <w:r w:rsidRPr="00B14316">
        <w:t xml:space="preserve">] ). The issues facing counsellors working with children and their families remain the same, though families and issues continue to evolve as society changes. We are now seeing more developmental fallout from children from prolonged divorce conflict, especially when dealing with child alienation issues (see Hecker &amp; Murphy,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"bib12" \o "12" </w:instrText>
      </w:r>
      <w:r w:rsidRPr="00B14316">
        <w:fldChar w:fldCharType="separate"/>
      </w:r>
      <w:r w:rsidRPr="00B14316">
        <w:rPr>
          <w:rStyle w:val="Hyperlink"/>
          <w:color w:val="005BC6"/>
          <w:bdr w:val="none" w:sz="0" w:space="0" w:color="auto" w:frame="1"/>
        </w:rPr>
        <w:t>12</w:t>
      </w:r>
      <w:r w:rsidRPr="00B14316">
        <w:fldChar w:fldCharType="end"/>
      </w:r>
      <w:r w:rsidRPr="00B14316">
        <w:t xml:space="preserve">] ). Children benefit when family counsellors are willing to wade into this conflict, and examine individual, relational, and systemic issues involved, which includes the courts as part of the family's larger system. Divorce mediation may be a legal option to reduce child‐centered parental conflict and its deleterious effects on children. </w:t>
      </w:r>
      <w:proofErr w:type="gramStart"/>
      <w:r w:rsidRPr="00B14316">
        <w:t xml:space="preserve">Counsellors who are not trained in potential iterations of divorce dynamics and parental alienation, risk </w:t>
      </w:r>
      <w:proofErr w:type="spellStart"/>
      <w:r w:rsidRPr="00B14316">
        <w:t>mis</w:t>
      </w:r>
      <w:proofErr w:type="spellEnd"/>
      <w:r w:rsidRPr="00B14316">
        <w:t>‐stepping in therapy with potentially disastrous consequences.</w:t>
      </w:r>
      <w:proofErr w:type="gramEnd"/>
      <w:r w:rsidRPr="00B14316">
        <w:t xml:space="preserve"> Too many counsellors have made a pronouncement about the wellbeing of a child while being ill‐informed concerning individual or systemic dynamics at play. Additionally, remarried parents continue to create step‐families, and step‐roles are gradually becoming commonplace; every counsellor must learn to manage ambiguity about family roles in stepfamilies as they form and evolve.</w:t>
      </w:r>
    </w:p>
    <w:p w:rsidR="00CE16ED" w:rsidRPr="00B14316" w:rsidRDefault="00CE16ED" w:rsidP="00CE16ED">
      <w:pPr>
        <w:pStyle w:val="body-paragraph"/>
        <w:spacing w:before="0" w:beforeAutospacing="0" w:after="0" w:afterAutospacing="0"/>
        <w:textAlignment w:val="baseline"/>
      </w:pPr>
      <w:r w:rsidRPr="00B14316">
        <w:t xml:space="preserve">The role of computing and social media can enhance relationships for children, or be sources of stress or trauma. While social media can help bridge the ‘generation gap’ between counsellors </w:t>
      </w:r>
      <w:r w:rsidRPr="00B14316">
        <w:lastRenderedPageBreak/>
        <w:t>and minors, additional concerns may arise regarding clinicians’ decisions to share any concerns gleaned online with parents.</w:t>
      </w:r>
    </w:p>
    <w:p w:rsidR="00CE16ED" w:rsidRPr="00B14316" w:rsidRDefault="00CE16ED" w:rsidP="00CE16ED">
      <w:pPr>
        <w:pStyle w:val="body-paragraph"/>
        <w:spacing w:before="0" w:beforeAutospacing="0" w:after="0" w:afterAutospacing="0"/>
        <w:textAlignment w:val="baseline"/>
      </w:pPr>
      <w:r w:rsidRPr="00B14316">
        <w:t xml:space="preserve">People are marrying less often, and we are seeing more serial monogamy, where children in a family may have just one common biological parent. Counsellors need to be </w:t>
      </w:r>
      <w:proofErr w:type="spellStart"/>
      <w:r w:rsidRPr="00B14316">
        <w:t>cognisant</w:t>
      </w:r>
      <w:proofErr w:type="spellEnd"/>
      <w:r w:rsidRPr="00B14316">
        <w:t xml:space="preserve"> of how this affects children in terms of roles, multiple losses, and ability to trust the stability of relationships. Special efforts should be made to procure consent to treat minors from all biological parents and, when appropriate, involve them in treatment. The ethically responsible practitioner also is aware of cultural beliefs and practices, and uses this knowledge to avoid </w:t>
      </w:r>
      <w:proofErr w:type="spellStart"/>
      <w:r w:rsidRPr="00B14316">
        <w:t>pathologising</w:t>
      </w:r>
      <w:proofErr w:type="spellEnd"/>
      <w:r w:rsidRPr="00B14316">
        <w:t xml:space="preserve"> families from non‐majority backgrounds. There has also been recent attention to the unique needs and concerns of military families both during and after deployment. Counsellors who elect to treat members of the armed forces for PTSD should have additional training and supervision, especially due to the high suicide rate among returning servicemen and women.</w:t>
      </w:r>
    </w:p>
    <w:p w:rsidR="00CE16ED" w:rsidRPr="00B14316" w:rsidRDefault="00CE16ED" w:rsidP="00CE16ED">
      <w:pPr>
        <w:pStyle w:val="body-paragraph"/>
        <w:spacing w:before="0" w:beforeAutospacing="0" w:after="0" w:afterAutospacing="0"/>
        <w:textAlignment w:val="baseline"/>
      </w:pPr>
      <w:r w:rsidRPr="00B14316">
        <w:t xml:space="preserve">In the US, there has been an alarming increase in the suicide rate and suicidal ideation among children and adolescents (Cash &amp; Bridge,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"bib5" \o "5" </w:instrText>
      </w:r>
      <w:r w:rsidRPr="00B14316">
        <w:fldChar w:fldCharType="separate"/>
      </w:r>
      <w:r w:rsidRPr="00B14316">
        <w:rPr>
          <w:rStyle w:val="Hyperlink"/>
          <w:color w:val="005BC6"/>
          <w:bdr w:val="none" w:sz="0" w:space="0" w:color="auto" w:frame="1"/>
        </w:rPr>
        <w:t>5</w:t>
      </w:r>
      <w:r w:rsidRPr="00B14316">
        <w:fldChar w:fldCharType="end"/>
      </w:r>
      <w:r w:rsidRPr="00B14316">
        <w:t xml:space="preserve">] ). Suicide is the third leading cause of death in youth aged 10–19 years. Counsellors must be aware of risk factors that include mood disorders (especially depression), substance abuse, family factors (parental psychopathology, family history of suicidal </w:t>
      </w:r>
      <w:proofErr w:type="spellStart"/>
      <w:r w:rsidRPr="00B14316">
        <w:t>behaviour</w:t>
      </w:r>
      <w:proofErr w:type="spellEnd"/>
      <w:r w:rsidRPr="00B14316">
        <w:t>, parental loss due to death or divorce, family conflict, poor parent–child relationships), sexual and physical abuse, frequent moves, and same‐sex orientation. Bullying, including cyber bullying, is prevalent and has led to well‐</w:t>
      </w:r>
      <w:proofErr w:type="spellStart"/>
      <w:r w:rsidRPr="00B14316">
        <w:t>publicised</w:t>
      </w:r>
      <w:proofErr w:type="spellEnd"/>
      <w:r w:rsidRPr="00B14316">
        <w:t xml:space="preserve"> incidents of adolescent suicide. Also, there are hundreds of Internet sites that provide information on how to commit suicide (Cash &amp; Bridge,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"bib5" \o "5" </w:instrText>
      </w:r>
      <w:r w:rsidRPr="00B14316">
        <w:fldChar w:fldCharType="separate"/>
      </w:r>
      <w:r w:rsidRPr="00B14316">
        <w:rPr>
          <w:rStyle w:val="Hyperlink"/>
          <w:color w:val="005BC6"/>
          <w:bdr w:val="none" w:sz="0" w:space="0" w:color="auto" w:frame="1"/>
        </w:rPr>
        <w:t>5</w:t>
      </w:r>
      <w:r w:rsidRPr="00B14316">
        <w:fldChar w:fldCharType="end"/>
      </w:r>
      <w:r w:rsidRPr="00B14316">
        <w:t xml:space="preserve">] ). We have found that adolescents are more forthcoming in revealing suicidal ideation in individual sessions with a caring and trustworthy counsellor, and then subsequently become amenable to sharing this information with parents and psychiatrists. Managing suicide ideation or intent can be an ethical minefield, and requires special training and counsellors who stay current on this topic (see </w:t>
      </w:r>
      <w:proofErr w:type="spellStart"/>
      <w:r w:rsidRPr="00B14316">
        <w:t>Sori</w:t>
      </w:r>
      <w:proofErr w:type="spellEnd"/>
      <w:r w:rsidRPr="00B14316">
        <w:t xml:space="preserve">, Hecker, &amp; </w:t>
      </w:r>
      <w:proofErr w:type="spellStart"/>
      <w:r w:rsidRPr="00B14316">
        <w:t>Bachenberg</w:t>
      </w:r>
      <w:proofErr w:type="spellEnd"/>
      <w:r w:rsidRPr="00B14316">
        <w:t xml:space="preserve">, </w:t>
      </w:r>
      <w:proofErr w:type="gramStart"/>
      <w:r w:rsidRPr="00B14316">
        <w:t>[ </w:t>
      </w:r>
      <w:proofErr w:type="gramEnd"/>
      <w:r w:rsidRPr="00B14316">
        <w:fldChar w:fldCharType="begin"/>
      </w:r>
      <w:r w:rsidRPr="00B14316">
        <w:instrText xml:space="preserve"> HYPERLINK "https://web-b-ebscohost-com.contentproxy.phoenix.edu/ehost/detail/detail?vid=2&amp;sid=49de4fc3-0fe5-4902-927e-ad3df28b31b5%40sessionmgr103&amp;bdata=JnNpdGU9ZWhvc3QtbGl2ZSZzY29wZT1zaXRl" \l "bib33" \o "33" </w:instrText>
      </w:r>
      <w:r w:rsidRPr="00B14316">
        <w:fldChar w:fldCharType="separate"/>
      </w:r>
      <w:r w:rsidRPr="00B14316">
        <w:rPr>
          <w:rStyle w:val="Hyperlink"/>
          <w:color w:val="005BC6"/>
          <w:bdr w:val="none" w:sz="0" w:space="0" w:color="auto" w:frame="1"/>
        </w:rPr>
        <w:t>33</w:t>
      </w:r>
      <w:r w:rsidRPr="00B14316">
        <w:fldChar w:fldCharType="end"/>
      </w:r>
      <w:r w:rsidRPr="00B14316">
        <w:t>] for treating the above issues).</w:t>
      </w:r>
    </w:p>
    <w:p w:rsidR="00CE16ED" w:rsidRDefault="00CE16ED" w:rsidP="00CE16ED">
      <w:pPr>
        <w:pStyle w:val="body-paragraph"/>
        <w:spacing w:before="0" w:beforeAutospacing="0" w:after="0" w:afterAutospacing="0"/>
        <w:textAlignment w:val="baseline"/>
      </w:pPr>
      <w:r w:rsidRPr="00B14316">
        <w:t>As a field, we need to continue to evolve to support all types of families in our global society, and nurture a move away from heteronormative ideas about marriage in order to best support children from myriad backgrounds. Ethical treatment of children means respecting and supporting the structure of their families, that is, parents.</w:t>
      </w:r>
    </w:p>
    <w:p w:rsidR="00B14316" w:rsidRDefault="00B14316" w:rsidP="00CE16ED">
      <w:pPr>
        <w:pStyle w:val="body-paragraph"/>
        <w:spacing w:before="0" w:beforeAutospacing="0" w:after="0" w:afterAutospacing="0"/>
        <w:textAlignment w:val="baseline"/>
      </w:pPr>
    </w:p>
    <w:p w:rsidR="00B14316" w:rsidRDefault="00B14316" w:rsidP="00CE16ED">
      <w:pPr>
        <w:pStyle w:val="body-paragraph"/>
        <w:spacing w:before="0" w:beforeAutospacing="0" w:after="0" w:afterAutospacing="0"/>
        <w:textAlignment w:val="baseline"/>
      </w:pPr>
      <w:proofErr w:type="spellStart"/>
      <w:proofErr w:type="gramStart"/>
      <w:r w:rsidRPr="00B14316">
        <w:t>Sori</w:t>
      </w:r>
      <w:proofErr w:type="spellEnd"/>
      <w:r w:rsidRPr="00B14316">
        <w:t>, C. F., &amp; Hecker, L. L. (2015).</w:t>
      </w:r>
      <w:proofErr w:type="gramEnd"/>
      <w:r w:rsidRPr="00B14316">
        <w:t xml:space="preserve"> </w:t>
      </w:r>
      <w:proofErr w:type="gramStart"/>
      <w:r w:rsidRPr="00B14316">
        <w:t>Ethical and legal considerations when counselling children and families.</w:t>
      </w:r>
      <w:proofErr w:type="gramEnd"/>
      <w:r w:rsidRPr="00B14316">
        <w:t xml:space="preserve"> Australian and New Zealand Journal of Family Therapy, 36(4), 450-464. doi:10.1002/anzf.1126</w:t>
      </w:r>
    </w:p>
    <w:p w:rsidR="00B14316" w:rsidRDefault="00B14316" w:rsidP="00CE16ED">
      <w:pPr>
        <w:pStyle w:val="body-paragraph"/>
        <w:spacing w:before="0" w:beforeAutospacing="0" w:after="0" w:afterAutospacing="0"/>
        <w:textAlignment w:val="baseline"/>
      </w:pPr>
    </w:p>
    <w:p w:rsidR="00B14316" w:rsidRDefault="00B14316"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FF3CF2" w:rsidRDefault="00FF3CF2" w:rsidP="00CE16ED">
      <w:pPr>
        <w:pStyle w:val="body-paragraph"/>
        <w:spacing w:before="0" w:beforeAutospacing="0" w:after="0" w:afterAutospacing="0"/>
        <w:textAlignment w:val="baseline"/>
      </w:pPr>
    </w:p>
    <w:p w:rsidR="00B14316" w:rsidRPr="00B14316" w:rsidRDefault="00B14316" w:rsidP="00CE16ED">
      <w:pPr>
        <w:pStyle w:val="body-paragraph"/>
        <w:spacing w:before="0" w:beforeAutospacing="0" w:after="0" w:afterAutospacing="0"/>
        <w:textAlignment w:val="baseline"/>
      </w:pPr>
      <w:r>
        <w:t>ARTICLE 3</w:t>
      </w:r>
    </w:p>
    <w:p w:rsidR="00936BCB" w:rsidRDefault="00936BCB" w:rsidP="002408F6">
      <w:pPr>
        <w:spacing w:line="480" w:lineRule="auto"/>
        <w:rPr>
          <w:rFonts w:ascii="Times New Roman" w:hAnsi="Times New Roman" w:cs="Times New Roman"/>
          <w:sz w:val="32"/>
          <w:szCs w:val="32"/>
        </w:rPr>
      </w:pPr>
      <w:r w:rsidRPr="00936BCB">
        <w:rPr>
          <w:rFonts w:ascii="Times New Roman" w:hAnsi="Times New Roman" w:cs="Times New Roman"/>
          <w:sz w:val="32"/>
          <w:szCs w:val="32"/>
        </w:rPr>
        <w:t xml:space="preserve">Ethical Issues in </w:t>
      </w:r>
      <w:proofErr w:type="spellStart"/>
      <w:r w:rsidRPr="00936BCB">
        <w:rPr>
          <w:rFonts w:ascii="Times New Roman" w:hAnsi="Times New Roman" w:cs="Times New Roman"/>
          <w:sz w:val="32"/>
          <w:szCs w:val="32"/>
        </w:rPr>
        <w:t>Coparent</w:t>
      </w:r>
      <w:proofErr w:type="spellEnd"/>
      <w:r w:rsidRPr="00936BCB">
        <w:rPr>
          <w:rFonts w:ascii="Times New Roman" w:hAnsi="Times New Roman" w:cs="Times New Roman"/>
          <w:sz w:val="32"/>
          <w:szCs w:val="32"/>
        </w:rPr>
        <w:t xml:space="preserve"> Counseling </w:t>
      </w:r>
    </w:p>
    <w:p w:rsidR="00FF3CF2" w:rsidRPr="00936BCB" w:rsidRDefault="00FF3CF2" w:rsidP="002408F6">
      <w:pPr>
        <w:spacing w:line="480" w:lineRule="auto"/>
        <w:rPr>
          <w:rFonts w:ascii="Times New Roman" w:hAnsi="Times New Roman" w:cs="Times New Roman"/>
          <w:sz w:val="32"/>
          <w:szCs w:val="32"/>
        </w:rPr>
      </w:pPr>
      <w:r>
        <w:t>Journal of Child Custody, 11:139–158, 2014 Copyright # Taylor &amp; Francis Group, LLC ISSN: 1537-9418 print=1537-940X online DOI: 10.1080/15379418.2014.921590</w:t>
      </w:r>
    </w:p>
    <w:p w:rsidR="00936BCB" w:rsidRDefault="00936BCB" w:rsidP="00936BCB">
      <w:pPr>
        <w:spacing w:line="480" w:lineRule="auto"/>
        <w:ind w:firstLine="720"/>
        <w:rPr>
          <w:rFonts w:ascii="Times New Roman" w:hAnsi="Times New Roman" w:cs="Times New Roman"/>
          <w:sz w:val="28"/>
          <w:szCs w:val="24"/>
        </w:rPr>
      </w:pP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a method of helping moderate- and high-conflict divorced or separated parents improve their shared caretaking of their children. Because it is a relatively new modality, its practitioners face ambiguity and uncertainty in their efforts to practice ethically. In the present article, information and recommendations are provided regarding confidentiality, separate meetings with parents, interactions with attorneys and the court, meetings with the children, insurance billing, competence, and informed consent. </w:t>
      </w:r>
    </w:p>
    <w:p w:rsidR="00936BCB" w:rsidRDefault="00936BCB" w:rsidP="00936BCB">
      <w:pPr>
        <w:spacing w:line="480" w:lineRule="auto"/>
        <w:ind w:firstLine="720"/>
        <w:rPr>
          <w:rFonts w:ascii="Times New Roman" w:hAnsi="Times New Roman" w:cs="Times New Roman"/>
          <w:sz w:val="28"/>
          <w:szCs w:val="24"/>
        </w:rPr>
      </w:pP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is ‘‘an enterprise undertaken by two or more adults who </w:t>
      </w:r>
      <w:proofErr w:type="gramStart"/>
      <w:r w:rsidRPr="00936BCB">
        <w:rPr>
          <w:rFonts w:ascii="Times New Roman" w:hAnsi="Times New Roman" w:cs="Times New Roman"/>
          <w:sz w:val="28"/>
          <w:szCs w:val="24"/>
        </w:rPr>
        <w:t>together</w:t>
      </w:r>
      <w:proofErr w:type="gramEnd"/>
      <w:r w:rsidRPr="00936BCB">
        <w:rPr>
          <w:rFonts w:ascii="Times New Roman" w:hAnsi="Times New Roman" w:cs="Times New Roman"/>
          <w:sz w:val="28"/>
          <w:szCs w:val="24"/>
        </w:rPr>
        <w:t xml:space="preserve"> take on the care and upbringing of children for whom they share responsibility’’ (McHale &amp; </w:t>
      </w:r>
      <w:proofErr w:type="spellStart"/>
      <w:r w:rsidRPr="00936BCB">
        <w:rPr>
          <w:rFonts w:ascii="Times New Roman" w:hAnsi="Times New Roman" w:cs="Times New Roman"/>
          <w:sz w:val="28"/>
          <w:szCs w:val="24"/>
        </w:rPr>
        <w:t>Lindahl</w:t>
      </w:r>
      <w:proofErr w:type="spellEnd"/>
      <w:r w:rsidRPr="00936BCB">
        <w:rPr>
          <w:rFonts w:ascii="Times New Roman" w:hAnsi="Times New Roman" w:cs="Times New Roman"/>
          <w:sz w:val="28"/>
          <w:szCs w:val="24"/>
        </w:rPr>
        <w:t xml:space="preserve">, 2012, p. 3). This joint enterprise does not end when parents separate or divorce. Three predominant modes of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by separated or divorced parents were identified by Hetherington and Kelly (2002): cooperative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in which parents interact relatively frequently, overtly support each other, and are flexible in making and changing arrangements; parallel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in which parents minimize their interactions and communications (Sullivan, 2008); and conflicted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in which even minor decisions can </w:t>
      </w:r>
      <w:r w:rsidRPr="00936BCB">
        <w:rPr>
          <w:rFonts w:ascii="Times New Roman" w:hAnsi="Times New Roman" w:cs="Times New Roman"/>
          <w:sz w:val="28"/>
          <w:szCs w:val="24"/>
        </w:rPr>
        <w:lastRenderedPageBreak/>
        <w:t xml:space="preserve">spark fierce conflict and major ones can lead to years of litigation. Outcomes for children are poorest in conflicted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and best in cooperative and parallel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(Kelly, 2007). Pruett and </w:t>
      </w:r>
      <w:proofErr w:type="spellStart"/>
      <w:r w:rsidRPr="00936BCB">
        <w:rPr>
          <w:rFonts w:ascii="Times New Roman" w:hAnsi="Times New Roman" w:cs="Times New Roman"/>
          <w:sz w:val="28"/>
          <w:szCs w:val="24"/>
        </w:rPr>
        <w:t>Donsky</w:t>
      </w:r>
      <w:proofErr w:type="spellEnd"/>
      <w:r w:rsidRPr="00936BCB">
        <w:rPr>
          <w:rFonts w:ascii="Times New Roman" w:hAnsi="Times New Roman" w:cs="Times New Roman"/>
          <w:sz w:val="28"/>
          <w:szCs w:val="24"/>
        </w:rPr>
        <w:t xml:space="preserve"> (2012) cited four components of a strong post-divorce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relationship, ‘‘(a) acting together as the ‘kids’ team,’ (b) sharing or dividing up direct child care, (c) managing conflict about the child, and (d) feeling supported in the process of parenting’’ (p. 233). These authors further commented, ‘‘Effective </w:t>
      </w:r>
      <w:proofErr w:type="spellStart"/>
      <w:r w:rsidRPr="00936BCB">
        <w:rPr>
          <w:rFonts w:ascii="Times New Roman" w:hAnsi="Times New Roman" w:cs="Times New Roman"/>
          <w:sz w:val="28"/>
          <w:szCs w:val="24"/>
        </w:rPr>
        <w:t>coparents</w:t>
      </w:r>
      <w:proofErr w:type="spellEnd"/>
      <w:r w:rsidRPr="00936BCB">
        <w:rPr>
          <w:rFonts w:ascii="Times New Roman" w:hAnsi="Times New Roman" w:cs="Times New Roman"/>
          <w:sz w:val="28"/>
          <w:szCs w:val="24"/>
        </w:rPr>
        <w:t xml:space="preserve">, whether spouses or former spouses, support one another’s actions and decisions, make and stick to agreements about how to raise their children, and refrain as best they can from undermining each other by deviating from these agreements unilaterally’’ (p. 233). Whether cooperative or parallel, healthy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relationships are characterized by a reasonable degree of trust in the other parent’s good intentions for the children, respect for his or her ideas and parenting practices, and a philosophy that each parent is the authority in his or her own home. </w:t>
      </w:r>
    </w:p>
    <w:p w:rsidR="00936BCB" w:rsidRDefault="00936BCB" w:rsidP="00936BCB">
      <w:pPr>
        <w:spacing w:line="480" w:lineRule="auto"/>
        <w:ind w:firstLine="720"/>
        <w:rPr>
          <w:rFonts w:ascii="Times New Roman" w:hAnsi="Times New Roman" w:cs="Times New Roman"/>
          <w:sz w:val="28"/>
          <w:szCs w:val="24"/>
        </w:rPr>
      </w:pP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one of several modalities that assist divorced and separated parents to develop the characteristics of these more effective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relationships. Other modalities share this goal, including mediation (particularly therapeutic mediation; </w:t>
      </w:r>
      <w:proofErr w:type="spellStart"/>
      <w:r w:rsidRPr="00936BCB">
        <w:rPr>
          <w:rFonts w:ascii="Times New Roman" w:hAnsi="Times New Roman" w:cs="Times New Roman"/>
          <w:sz w:val="28"/>
          <w:szCs w:val="24"/>
        </w:rPr>
        <w:t>Heitler</w:t>
      </w:r>
      <w:proofErr w:type="spellEnd"/>
      <w:r w:rsidRPr="00936BCB">
        <w:rPr>
          <w:rFonts w:ascii="Times New Roman" w:hAnsi="Times New Roman" w:cs="Times New Roman"/>
          <w:sz w:val="28"/>
          <w:szCs w:val="24"/>
        </w:rPr>
        <w:t>, 1990), collaborative divorce (</w:t>
      </w:r>
      <w:proofErr w:type="gramStart"/>
      <w:r w:rsidRPr="00936BCB">
        <w:rPr>
          <w:rFonts w:ascii="Times New Roman" w:hAnsi="Times New Roman" w:cs="Times New Roman"/>
          <w:sz w:val="28"/>
          <w:szCs w:val="24"/>
        </w:rPr>
        <w:t>Nurse &amp;</w:t>
      </w:r>
      <w:proofErr w:type="gramEnd"/>
      <w:r w:rsidRPr="00936BCB">
        <w:rPr>
          <w:rFonts w:ascii="Times New Roman" w:hAnsi="Times New Roman" w:cs="Times New Roman"/>
          <w:sz w:val="28"/>
          <w:szCs w:val="24"/>
        </w:rPr>
        <w:t xml:space="preserve"> Thompson, 2009), and parent coordination (Coates, Deutsch, Starnes, Sullivan, &amp; </w:t>
      </w:r>
      <w:proofErr w:type="spellStart"/>
      <w:r w:rsidRPr="00936BCB">
        <w:rPr>
          <w:rFonts w:ascii="Times New Roman" w:hAnsi="Times New Roman" w:cs="Times New Roman"/>
          <w:sz w:val="28"/>
          <w:szCs w:val="24"/>
        </w:rPr>
        <w:t>Sydik</w:t>
      </w:r>
      <w:proofErr w:type="spellEnd"/>
      <w:r w:rsidRPr="00936BCB">
        <w:rPr>
          <w:rFonts w:ascii="Times New Roman" w:hAnsi="Times New Roman" w:cs="Times New Roman"/>
          <w:sz w:val="28"/>
          <w:szCs w:val="24"/>
        </w:rPr>
        <w:t xml:space="preserve">, 2004); however,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the only modality that focuses primarily on </w:t>
      </w:r>
      <w:r w:rsidRPr="00936BCB">
        <w:rPr>
          <w:rFonts w:ascii="Times New Roman" w:hAnsi="Times New Roman" w:cs="Times New Roman"/>
          <w:sz w:val="28"/>
          <w:szCs w:val="24"/>
        </w:rPr>
        <w:lastRenderedPageBreak/>
        <w:t>improving parents’ shared caretaking of their children. Though it is in a nascent stage, authors have begun to describe its technique and rationale.</w:t>
      </w:r>
    </w:p>
    <w:p w:rsidR="00936BCB"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Johnston, </w:t>
      </w:r>
      <w:proofErr w:type="spellStart"/>
      <w:r w:rsidRPr="00936BCB">
        <w:rPr>
          <w:rFonts w:ascii="Times New Roman" w:hAnsi="Times New Roman" w:cs="Times New Roman"/>
          <w:sz w:val="28"/>
          <w:szCs w:val="24"/>
        </w:rPr>
        <w:t>Roseby</w:t>
      </w:r>
      <w:proofErr w:type="spellEnd"/>
      <w:r w:rsidRPr="00936BCB">
        <w:rPr>
          <w:rFonts w:ascii="Times New Roman" w:hAnsi="Times New Roman" w:cs="Times New Roman"/>
          <w:sz w:val="28"/>
          <w:szCs w:val="24"/>
        </w:rPr>
        <w:t xml:space="preserve">, and </w:t>
      </w:r>
      <w:proofErr w:type="spellStart"/>
      <w:r w:rsidRPr="00936BCB">
        <w:rPr>
          <w:rFonts w:ascii="Times New Roman" w:hAnsi="Times New Roman" w:cs="Times New Roman"/>
          <w:sz w:val="28"/>
          <w:szCs w:val="24"/>
        </w:rPr>
        <w:t>Kuehnle</w:t>
      </w:r>
      <w:proofErr w:type="spellEnd"/>
      <w:r w:rsidRPr="00936BCB">
        <w:rPr>
          <w:rFonts w:ascii="Times New Roman" w:hAnsi="Times New Roman" w:cs="Times New Roman"/>
          <w:sz w:val="28"/>
          <w:szCs w:val="24"/>
        </w:rPr>
        <w:t xml:space="preserve"> (2009) provided the most detailed discussion of intervention strategies, under the rubric ‘‘co-parenting counseling and parent coordination.’’ They present a theory of parental dysfunction based on the psychoanalytic concept of splitting, an inability to bring a person’s positive and negative qualities together into a cohesive whole. They go on to describe a comprehensive approach that includes a detailed assessment with interviews of the children and intensive treatment of the family lasting six months to two years. Parents are usually asked to consent that no information from the treatment will be shared with the court and to stipulate that the clinician will not be asked to testify. The child’s emotional struggles in response to the parental conflict are interpreted to the parents in a non-blaming way. The clinician then provides parents with steps they can take to ameliorate the child’s plight. Successive specific issues, such as disputes over schedule changes or the child’s distress at exchanges, are worked through and the parents thereby learn ‘‘principles and rules for ways that situations like this have to be handled in the future’’ (p. 269). There are commonly one or more crises during the therapy, to which the clinician responds from a ‘‘strongly supportive, active but confrontational stance with both parents’’ (p. 271). </w:t>
      </w:r>
    </w:p>
    <w:p w:rsidR="00936BCB"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lastRenderedPageBreak/>
        <w:t xml:space="preserve">Levite and Cohen (2012) also view high-conflict dynamics as an outgrowth of splitting and other primitive defenses (relatively crude and maladaptive methods of managing distress) discussed in psychoanalytic theory. Their approach (Cohen &amp; Levite, 2012), which they do not describe in detail, involves a therapist working individually with each parent as part of a treatment team that includes a mediator or parenting coordinator working conjointly with the parents. The goal of therapy is to help parents to reduce 140 B. </w:t>
      </w:r>
      <w:proofErr w:type="spellStart"/>
      <w:r w:rsidRPr="00936BCB">
        <w:rPr>
          <w:rFonts w:ascii="Times New Roman" w:hAnsi="Times New Roman" w:cs="Times New Roman"/>
          <w:sz w:val="28"/>
          <w:szCs w:val="24"/>
        </w:rPr>
        <w:t>Fridhandler</w:t>
      </w:r>
      <w:proofErr w:type="spellEnd"/>
      <w:r w:rsidRPr="00936BCB">
        <w:rPr>
          <w:rFonts w:ascii="Times New Roman" w:hAnsi="Times New Roman" w:cs="Times New Roman"/>
          <w:sz w:val="28"/>
          <w:szCs w:val="24"/>
        </w:rPr>
        <w:t xml:space="preserve"> and M. </w:t>
      </w:r>
      <w:proofErr w:type="spellStart"/>
      <w:r w:rsidRPr="00936BCB">
        <w:rPr>
          <w:rFonts w:ascii="Times New Roman" w:hAnsi="Times New Roman" w:cs="Times New Roman"/>
          <w:sz w:val="28"/>
          <w:szCs w:val="24"/>
        </w:rPr>
        <w:t>Lehmer</w:t>
      </w:r>
      <w:proofErr w:type="spellEnd"/>
      <w:r w:rsidRPr="00936BCB">
        <w:rPr>
          <w:rFonts w:ascii="Times New Roman" w:hAnsi="Times New Roman" w:cs="Times New Roman"/>
          <w:sz w:val="28"/>
          <w:szCs w:val="24"/>
        </w:rPr>
        <w:t xml:space="preserve"> their reliance on primitive defenses and thereby function better as </w:t>
      </w:r>
      <w:proofErr w:type="spellStart"/>
      <w:r w:rsidRPr="00936BCB">
        <w:rPr>
          <w:rFonts w:ascii="Times New Roman" w:hAnsi="Times New Roman" w:cs="Times New Roman"/>
          <w:sz w:val="28"/>
          <w:szCs w:val="24"/>
        </w:rPr>
        <w:t>coparents</w:t>
      </w:r>
      <w:proofErr w:type="spellEnd"/>
      <w:r w:rsidRPr="00936BCB">
        <w:rPr>
          <w:rFonts w:ascii="Times New Roman" w:hAnsi="Times New Roman" w:cs="Times New Roman"/>
          <w:sz w:val="28"/>
          <w:szCs w:val="24"/>
        </w:rPr>
        <w:t xml:space="preserve">. Like Johnston et al. (2009), they view intense countertransference reactions on the therapist’s part as an expectable aspect of treatment and a window into the child’s experience. That is, these authors believe that the therapist’s emotional reactions to the couple’s issues may enable him or her to understand how the child is experiencing their parent’s conflicts. </w:t>
      </w:r>
    </w:p>
    <w:p w:rsidR="00936BCB"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Eddy’s (2009) New Ways for Families includes components intended to improve parents’ shared caretaking of their children and is therefore relevant to the </w:t>
      </w:r>
      <w:proofErr w:type="gramStart"/>
      <w:r w:rsidRPr="00936BCB">
        <w:rPr>
          <w:rFonts w:ascii="Times New Roman" w:hAnsi="Times New Roman" w:cs="Times New Roman"/>
          <w:sz w:val="28"/>
          <w:szCs w:val="24"/>
        </w:rPr>
        <w:t>present</w:t>
      </w:r>
      <w:proofErr w:type="gramEnd"/>
      <w:r w:rsidRPr="00936BCB">
        <w:rPr>
          <w:rFonts w:ascii="Times New Roman" w:hAnsi="Times New Roman" w:cs="Times New Roman"/>
          <w:sz w:val="28"/>
          <w:szCs w:val="24"/>
        </w:rPr>
        <w:t xml:space="preserve"> discussion. Each parent is seen individually, generally for six sessions, and taught four skills felt to be necessary for successful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Flexible Thinking, Managed Emotions, Moderate Behaviors, and Checking Yourself (i.e., reminding oneself to use the other three skills in the midst of conflict). An additional counselor sees the parents and children together. Eddy broadly agrees </w:t>
      </w:r>
      <w:r w:rsidRPr="00936BCB">
        <w:rPr>
          <w:rFonts w:ascii="Times New Roman" w:hAnsi="Times New Roman" w:cs="Times New Roman"/>
          <w:sz w:val="28"/>
          <w:szCs w:val="24"/>
        </w:rPr>
        <w:lastRenderedPageBreak/>
        <w:t xml:space="preserve">with the above authors regarding the origin of high conflict dynamics, though he speaks principally in terms of personality disorder rather than primitive defenses and does not draw explicitly on psychoanalytic theory. Unlike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New Ways for Families generally ends when a basic parenting plan has been decided on. </w:t>
      </w:r>
    </w:p>
    <w:p w:rsidR="00936BCB"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Directed Co-Parenting Intervention (DCI) is a method of working with </w:t>
      </w:r>
      <w:proofErr w:type="gramStart"/>
      <w:r w:rsidRPr="00936BCB">
        <w:rPr>
          <w:rFonts w:ascii="Times New Roman" w:hAnsi="Times New Roman" w:cs="Times New Roman"/>
          <w:sz w:val="28"/>
          <w:szCs w:val="24"/>
        </w:rPr>
        <w:t>parents</w:t>
      </w:r>
      <w:proofErr w:type="gramEnd"/>
      <w:r w:rsidRPr="00936BCB">
        <w:rPr>
          <w:rFonts w:ascii="Times New Roman" w:hAnsi="Times New Roman" w:cs="Times New Roman"/>
          <w:sz w:val="28"/>
          <w:szCs w:val="24"/>
        </w:rPr>
        <w:t xml:space="preserve"> in conflict to improve their caretaking of the children (Garber, 2004). It focuses on parenting practices such as establishing similar rules and expectations in the two homes and avoiding distressing interactions in front of the children during exchanges. Given that the parents are typically seen in separate sessions, DCI differs from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counseling as generally defined, though many of the ethical considerations in the present paper would likely apply to DCI, particularly when parents are seen conjointly.</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One definitional question is whether the goal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to </w:t>
      </w:r>
      <w:proofErr w:type="gramStart"/>
      <w:r w:rsidRPr="00936BCB">
        <w:rPr>
          <w:rFonts w:ascii="Times New Roman" w:hAnsi="Times New Roman" w:cs="Times New Roman"/>
          <w:sz w:val="28"/>
          <w:szCs w:val="24"/>
        </w:rPr>
        <w:t>improve</w:t>
      </w:r>
      <w:proofErr w:type="gramEnd"/>
      <w:r w:rsidRPr="00936BCB">
        <w:rPr>
          <w:rFonts w:ascii="Times New Roman" w:hAnsi="Times New Roman" w:cs="Times New Roman"/>
          <w:sz w:val="28"/>
          <w:szCs w:val="24"/>
        </w:rPr>
        <w:t xml:space="preserve"> the parents’ relationship with each other or to implement their parenting plan by adding more detailed rules and structure. Sullivan (2008) argued that it is misguided and potentially harmful to attempt to move high-conflict parents into a cooperative relationship that they are unlikely to be able to achieve. Instead, he advocates helping them to disengage from each other, in part through the use of increasingly specific rules for situations that arise. Similarly, Garber (2004) does </w:t>
      </w:r>
      <w:r w:rsidRPr="00936BCB">
        <w:rPr>
          <w:rFonts w:ascii="Times New Roman" w:hAnsi="Times New Roman" w:cs="Times New Roman"/>
          <w:sz w:val="28"/>
          <w:szCs w:val="24"/>
        </w:rPr>
        <w:lastRenderedPageBreak/>
        <w:t xml:space="preserve">not include improvement of the parental relationship as a goal of DCI. Cohen and Levite (2012), by contrast, advocated psychoanalytic interventions directed at improving the parents’ ability to relate to each other emotionally. Counselors from these different persuasions are likely to focus on different things when assessing suitability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for a given set of parents and progress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over time. However, it is unclear at this stage to what extent this is a difference of substance as opposed to one of perspective and terminology. A counselor who thinks in terms of psychology and relationship may nevertheless, in effect, be working toward disengagement and improved adherence to agreements even while understanding this change Ethical Issues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141 as diminished mutual projective identification (unconsciously pressuring another person to act out aspects of oneself with which one is uncomfortable) and increased recognition of the needs of the children. By the same token, a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or parenting coordinator helping parents disengage from each other may, in so doing, help high conflict parents to reduce mutual projective identification and improve reality testing.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We suggest that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not appropriate for those couples </w:t>
      </w:r>
      <w:proofErr w:type="gramStart"/>
      <w:r w:rsidRPr="00936BCB">
        <w:rPr>
          <w:rFonts w:ascii="Times New Roman" w:hAnsi="Times New Roman" w:cs="Times New Roman"/>
          <w:sz w:val="28"/>
          <w:szCs w:val="24"/>
        </w:rPr>
        <w:t>with</w:t>
      </w:r>
      <w:proofErr w:type="gramEnd"/>
      <w:r w:rsidRPr="00936BCB">
        <w:rPr>
          <w:rFonts w:ascii="Times New Roman" w:hAnsi="Times New Roman" w:cs="Times New Roman"/>
          <w:sz w:val="28"/>
          <w:szCs w:val="24"/>
        </w:rPr>
        <w:t xml:space="preserve"> histories of intimate partner violence (IPV), with the possible exception of circumscribed, less severe histories (Jaffe, Johnston, Crooks, &amp; </w:t>
      </w:r>
      <w:proofErr w:type="spellStart"/>
      <w:r w:rsidRPr="00936BCB">
        <w:rPr>
          <w:rFonts w:ascii="Times New Roman" w:hAnsi="Times New Roman" w:cs="Times New Roman"/>
          <w:sz w:val="28"/>
          <w:szCs w:val="24"/>
        </w:rPr>
        <w:t>Bala</w:t>
      </w:r>
      <w:proofErr w:type="spellEnd"/>
      <w:r w:rsidRPr="00936BCB">
        <w:rPr>
          <w:rFonts w:ascii="Times New Roman" w:hAnsi="Times New Roman" w:cs="Times New Roman"/>
          <w:sz w:val="28"/>
          <w:szCs w:val="24"/>
        </w:rPr>
        <w:t xml:space="preserve">, 2008). When there is a history of IPV, the power imbalance can interfere with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w:t>
      </w:r>
      <w:r w:rsidRPr="00936BCB">
        <w:rPr>
          <w:rFonts w:ascii="Times New Roman" w:hAnsi="Times New Roman" w:cs="Times New Roman"/>
          <w:sz w:val="28"/>
          <w:szCs w:val="24"/>
        </w:rPr>
        <w:lastRenderedPageBreak/>
        <w:t xml:space="preserve">counseling, and there can be safety issues for the victim and possibly the therapist (Johnston et al., 2009). </w:t>
      </w:r>
    </w:p>
    <w:p w:rsidR="001A296E" w:rsidRDefault="00936BCB" w:rsidP="00936BCB">
      <w:pPr>
        <w:spacing w:line="480" w:lineRule="auto"/>
        <w:ind w:firstLine="720"/>
        <w:rPr>
          <w:rFonts w:ascii="Times New Roman" w:hAnsi="Times New Roman" w:cs="Times New Roman"/>
          <w:sz w:val="28"/>
          <w:szCs w:val="24"/>
        </w:rPr>
      </w:pP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differs from parenting coordination as typically defined </w:t>
      </w:r>
      <w:proofErr w:type="gramStart"/>
      <w:r w:rsidRPr="00936BCB">
        <w:rPr>
          <w:rFonts w:ascii="Times New Roman" w:hAnsi="Times New Roman" w:cs="Times New Roman"/>
          <w:sz w:val="28"/>
          <w:szCs w:val="24"/>
        </w:rPr>
        <w:t>(Coates et al., 2004) in that the latter includes limited judicial authority and focuses on making ongoing parenting decisions by means of a ‘‘mediation-arbitration’’ approach.</w:t>
      </w:r>
      <w:proofErr w:type="gramEnd"/>
      <w:r w:rsidRPr="00936BCB">
        <w:rPr>
          <w:rFonts w:ascii="Times New Roman" w:hAnsi="Times New Roman" w:cs="Times New Roman"/>
          <w:sz w:val="28"/>
          <w:szCs w:val="24"/>
        </w:rPr>
        <w:t xml:space="preserve"> Sullivan (2008), however, offered a model of parenting coordination that instead focuses on helping high-conflict parents to disengage from each other. Thus, some forms of parenting coordination would fall within the definition of </w:t>
      </w:r>
      <w:proofErr w:type="spellStart"/>
      <w:r w:rsidRPr="00936BCB">
        <w:rPr>
          <w:rFonts w:ascii="Times New Roman" w:hAnsi="Times New Roman" w:cs="Times New Roman"/>
          <w:sz w:val="28"/>
          <w:szCs w:val="24"/>
        </w:rPr>
        <w:t>copa</w:t>
      </w:r>
      <w:r w:rsidR="001A296E">
        <w:rPr>
          <w:rFonts w:ascii="Times New Roman" w:hAnsi="Times New Roman" w:cs="Times New Roman"/>
          <w:sz w:val="28"/>
          <w:szCs w:val="24"/>
        </w:rPr>
        <w:t>rent</w:t>
      </w:r>
      <w:proofErr w:type="spellEnd"/>
      <w:r w:rsidR="001A296E">
        <w:rPr>
          <w:rFonts w:ascii="Times New Roman" w:hAnsi="Times New Roman" w:cs="Times New Roman"/>
          <w:sz w:val="28"/>
          <w:szCs w:val="24"/>
        </w:rPr>
        <w:t xml:space="preserve"> counseling provided here.</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The present article addresses ethical issues across the varied approaches to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assuming only that one counselor will work with both parents and that he or she will have no decision-making authority. Because of its implications for a number of relevant ethical issues, the first issue discussed below is the need for the counselor to develop a reasoned stance regarding whether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a form of psychotherapy. Then, confidentiality and related issues such as whether the counselor will have private communication with the parents are discussed. Next, ethical aspects of the interface between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attorneys, and the court are considered. Competence is an ethical issue and therefore the question of what training and experience should be obtained prior to providing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briefly considered. Next, the question of the </w:t>
      </w:r>
      <w:r w:rsidRPr="00936BCB">
        <w:rPr>
          <w:rFonts w:ascii="Times New Roman" w:hAnsi="Times New Roman" w:cs="Times New Roman"/>
          <w:sz w:val="28"/>
          <w:szCs w:val="24"/>
        </w:rPr>
        <w:lastRenderedPageBreak/>
        <w:t xml:space="preserve">counselor interviewing or evaluating the children is discussed, followed by ethical issues related to insurance billing. Informed consent is the final topic addressed because its content depends on resolution of the other topics. The present paper is limited to ethical issues; that is, we do not make recommendations on technique or take a position on the definition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w:t>
      </w:r>
    </w:p>
    <w:p w:rsidR="001A296E" w:rsidRDefault="00936BCB" w:rsidP="00936BCB">
      <w:pPr>
        <w:spacing w:line="480" w:lineRule="auto"/>
        <w:ind w:firstLine="720"/>
        <w:rPr>
          <w:rFonts w:ascii="Times New Roman" w:hAnsi="Times New Roman" w:cs="Times New Roman"/>
          <w:b/>
          <w:sz w:val="28"/>
          <w:szCs w:val="24"/>
        </w:rPr>
      </w:pPr>
      <w:r w:rsidRPr="001A296E">
        <w:rPr>
          <w:rFonts w:ascii="Times New Roman" w:hAnsi="Times New Roman" w:cs="Times New Roman"/>
          <w:b/>
          <w:sz w:val="28"/>
          <w:szCs w:val="24"/>
        </w:rPr>
        <w:t xml:space="preserve">Is </w:t>
      </w:r>
      <w:proofErr w:type="spellStart"/>
      <w:r w:rsidRPr="001A296E">
        <w:rPr>
          <w:rFonts w:ascii="Times New Roman" w:hAnsi="Times New Roman" w:cs="Times New Roman"/>
          <w:b/>
          <w:sz w:val="28"/>
          <w:szCs w:val="24"/>
        </w:rPr>
        <w:t>Coparent</w:t>
      </w:r>
      <w:proofErr w:type="spellEnd"/>
      <w:r w:rsidRPr="001A296E">
        <w:rPr>
          <w:rFonts w:ascii="Times New Roman" w:hAnsi="Times New Roman" w:cs="Times New Roman"/>
          <w:b/>
          <w:sz w:val="28"/>
          <w:szCs w:val="24"/>
        </w:rPr>
        <w:t xml:space="preserve"> Counseling a Form of Psychotherapy?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Some practitioners view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a form of psychotherapy and the nascent literature on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tends to characterize it as psychotherapy. On the other hand, the individual counseling component 142 B. </w:t>
      </w:r>
      <w:proofErr w:type="spellStart"/>
      <w:r w:rsidRPr="00936BCB">
        <w:rPr>
          <w:rFonts w:ascii="Times New Roman" w:hAnsi="Times New Roman" w:cs="Times New Roman"/>
          <w:sz w:val="28"/>
          <w:szCs w:val="24"/>
        </w:rPr>
        <w:t>Fridhandler</w:t>
      </w:r>
      <w:proofErr w:type="spellEnd"/>
      <w:r w:rsidRPr="00936BCB">
        <w:rPr>
          <w:rFonts w:ascii="Times New Roman" w:hAnsi="Times New Roman" w:cs="Times New Roman"/>
          <w:sz w:val="28"/>
          <w:szCs w:val="24"/>
        </w:rPr>
        <w:t xml:space="preserve"> and M. </w:t>
      </w:r>
      <w:proofErr w:type="spellStart"/>
      <w:r w:rsidRPr="00936BCB">
        <w:rPr>
          <w:rFonts w:ascii="Times New Roman" w:hAnsi="Times New Roman" w:cs="Times New Roman"/>
          <w:sz w:val="28"/>
          <w:szCs w:val="24"/>
        </w:rPr>
        <w:t>Lehmer</w:t>
      </w:r>
      <w:proofErr w:type="spellEnd"/>
      <w:r w:rsidRPr="00936BCB">
        <w:rPr>
          <w:rFonts w:ascii="Times New Roman" w:hAnsi="Times New Roman" w:cs="Times New Roman"/>
          <w:sz w:val="28"/>
          <w:szCs w:val="24"/>
        </w:rPr>
        <w:t xml:space="preserve"> of New Ways for Families (Eddy, 2009), the coaching component of collaborative practice (Nurse &amp; Thompson, 2009), and the approach to parenting coordination described by Sullivan (2008) have elements in common with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yet none is defined as psychotherapy. As will become evident below, a number of ethical and possibly legal consequences flow from the decision of whether a given counselor regards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psychotherapy. Accordingly, considerations in making this determination are discussed in the present section.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Couples therapy is thoroughly accepted as a form of psychotherapy and it is reasonable to argue that if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largely based on theory and interventions used in couples therapy, then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appropriately </w:t>
      </w:r>
      <w:r w:rsidRPr="00936BCB">
        <w:rPr>
          <w:rFonts w:ascii="Times New Roman" w:hAnsi="Times New Roman" w:cs="Times New Roman"/>
          <w:sz w:val="28"/>
          <w:szCs w:val="24"/>
        </w:rPr>
        <w:lastRenderedPageBreak/>
        <w:t xml:space="preserve">considered a form of psychotherapy as well. But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bears perhaps an equally strong resemblance to interventions that are not regarded as psychotherapy. The relationship between separated or divorced parents is often compared to a business relationship (</w:t>
      </w:r>
      <w:proofErr w:type="spellStart"/>
      <w:r w:rsidRPr="00936BCB">
        <w:rPr>
          <w:rFonts w:ascii="Times New Roman" w:hAnsi="Times New Roman" w:cs="Times New Roman"/>
          <w:sz w:val="28"/>
          <w:szCs w:val="24"/>
        </w:rPr>
        <w:t>Frieman</w:t>
      </w:r>
      <w:proofErr w:type="spellEnd"/>
      <w:r w:rsidRPr="00936BCB">
        <w:rPr>
          <w:rFonts w:ascii="Times New Roman" w:hAnsi="Times New Roman" w:cs="Times New Roman"/>
          <w:sz w:val="28"/>
          <w:szCs w:val="24"/>
        </w:rPr>
        <w:t xml:space="preserve">, </w:t>
      </w:r>
      <w:proofErr w:type="spellStart"/>
      <w:r w:rsidRPr="00936BCB">
        <w:rPr>
          <w:rFonts w:ascii="Times New Roman" w:hAnsi="Times New Roman" w:cs="Times New Roman"/>
          <w:sz w:val="28"/>
          <w:szCs w:val="24"/>
        </w:rPr>
        <w:t>Garon</w:t>
      </w:r>
      <w:proofErr w:type="spellEnd"/>
      <w:r w:rsidRPr="00936BCB">
        <w:rPr>
          <w:rFonts w:ascii="Times New Roman" w:hAnsi="Times New Roman" w:cs="Times New Roman"/>
          <w:sz w:val="28"/>
          <w:szCs w:val="24"/>
        </w:rPr>
        <w:t xml:space="preserve">, &amp; Mandell, 1994; Ricci, 1997). When mental health professionals (MHPs) intervene to improve the relationship between business partners or coworkers, it is viewed as coaching or organizational consulting, not psychotherapy, even if the guiding theory and the interventions are drawn from psychotherapy. An additional consideration is the similarity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often has to mediation, which is not viewed as a form of treatment. </w:t>
      </w:r>
      <w:proofErr w:type="gramStart"/>
      <w:r w:rsidRPr="00936BCB">
        <w:rPr>
          <w:rFonts w:ascii="Times New Roman" w:hAnsi="Times New Roman" w:cs="Times New Roman"/>
          <w:sz w:val="28"/>
          <w:szCs w:val="24"/>
        </w:rPr>
        <w:t>(Even therapeutic mediation [</w:t>
      </w:r>
      <w:proofErr w:type="spellStart"/>
      <w:r w:rsidRPr="00936BCB">
        <w:rPr>
          <w:rFonts w:ascii="Times New Roman" w:hAnsi="Times New Roman" w:cs="Times New Roman"/>
          <w:sz w:val="28"/>
          <w:szCs w:val="24"/>
        </w:rPr>
        <w:t>Heitler</w:t>
      </w:r>
      <w:proofErr w:type="spellEnd"/>
      <w:r w:rsidRPr="00936BCB">
        <w:rPr>
          <w:rFonts w:ascii="Times New Roman" w:hAnsi="Times New Roman" w:cs="Times New Roman"/>
          <w:sz w:val="28"/>
          <w:szCs w:val="24"/>
        </w:rPr>
        <w:t>, 1990] is typically viewed as an approach to mediation rather than as a form of psychotherapy).</w:t>
      </w:r>
      <w:proofErr w:type="gramEnd"/>
      <w:r w:rsidRPr="00936BCB">
        <w:rPr>
          <w:rFonts w:ascii="Times New Roman" w:hAnsi="Times New Roman" w:cs="Times New Roman"/>
          <w:sz w:val="28"/>
          <w:szCs w:val="24"/>
        </w:rPr>
        <w:t xml:space="preserve">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For these reasons, it is not clearly the </w:t>
      </w:r>
      <w:proofErr w:type="gramStart"/>
      <w:r w:rsidRPr="00936BCB">
        <w:rPr>
          <w:rFonts w:ascii="Times New Roman" w:hAnsi="Times New Roman" w:cs="Times New Roman"/>
          <w:sz w:val="28"/>
          <w:szCs w:val="24"/>
        </w:rPr>
        <w:t xml:space="preserve">case that </w:t>
      </w:r>
      <w:proofErr w:type="spellStart"/>
      <w:r w:rsidRPr="00936BCB">
        <w:rPr>
          <w:rFonts w:ascii="Times New Roman" w:hAnsi="Times New Roman" w:cs="Times New Roman"/>
          <w:sz w:val="28"/>
          <w:szCs w:val="24"/>
        </w:rPr>
        <w:t>coparent</w:t>
      </w:r>
      <w:proofErr w:type="spellEnd"/>
      <w:proofErr w:type="gramEnd"/>
      <w:r w:rsidRPr="00936BCB">
        <w:rPr>
          <w:rFonts w:ascii="Times New Roman" w:hAnsi="Times New Roman" w:cs="Times New Roman"/>
          <w:sz w:val="28"/>
          <w:szCs w:val="24"/>
        </w:rPr>
        <w:t xml:space="preserve"> counseling is a form of psychotherapy. Counselors should take a reasoned and consistent position on this question. Those who use explicitly therapeutic techniques such as those developed by Johnston et al. (2009) are on firmer ground in viewing their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a form of psychotherapy, whereas those whose approach has more in common with mediation or with parenting coordination are on firmer ground not viewing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psychotherapy.</w:t>
      </w:r>
    </w:p>
    <w:p w:rsidR="001A296E" w:rsidRDefault="00936BCB" w:rsidP="001A296E">
      <w:pPr>
        <w:spacing w:line="480" w:lineRule="auto"/>
        <w:ind w:firstLine="720"/>
        <w:jc w:val="center"/>
        <w:rPr>
          <w:rFonts w:ascii="Times New Roman" w:hAnsi="Times New Roman" w:cs="Times New Roman"/>
          <w:sz w:val="28"/>
          <w:szCs w:val="24"/>
        </w:rPr>
      </w:pPr>
      <w:r w:rsidRPr="00936BCB">
        <w:rPr>
          <w:rFonts w:ascii="Times New Roman" w:hAnsi="Times New Roman" w:cs="Times New Roman"/>
          <w:sz w:val="28"/>
          <w:szCs w:val="24"/>
        </w:rPr>
        <w:t>CONFIDENTIALITY</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lastRenderedPageBreak/>
        <w:t xml:space="preserve"> Issues of confidentiality and disclosure are well worked out for </w:t>
      </w:r>
      <w:proofErr w:type="gramStart"/>
      <w:r w:rsidRPr="00936BCB">
        <w:rPr>
          <w:rFonts w:ascii="Times New Roman" w:hAnsi="Times New Roman" w:cs="Times New Roman"/>
          <w:sz w:val="28"/>
          <w:szCs w:val="24"/>
        </w:rPr>
        <w:t>psychotherapists</w:t>
      </w:r>
      <w:proofErr w:type="gramEnd"/>
      <w:r w:rsidRPr="00936BCB">
        <w:rPr>
          <w:rFonts w:ascii="Times New Roman" w:hAnsi="Times New Roman" w:cs="Times New Roman"/>
          <w:sz w:val="28"/>
          <w:szCs w:val="24"/>
        </w:rPr>
        <w:t xml:space="preserve">. Counselors who view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psychotherapy need to abide by these established laws and ethical principles regarding confidentiality of psychotherapy. In brief, therapists must maintain confidentiality of psychotherapy unless a specific exception applies; assert legal privilege if disclosure is requested without an explicit release of information from the clients; and follow the stated instructions of clients when they request disclosures (Campbell, Vasquez, </w:t>
      </w:r>
      <w:proofErr w:type="spellStart"/>
      <w:r w:rsidRPr="00936BCB">
        <w:rPr>
          <w:rFonts w:ascii="Times New Roman" w:hAnsi="Times New Roman" w:cs="Times New Roman"/>
          <w:sz w:val="28"/>
          <w:szCs w:val="24"/>
        </w:rPr>
        <w:t>Behnke</w:t>
      </w:r>
      <w:proofErr w:type="spellEnd"/>
      <w:r w:rsidRPr="00936BCB">
        <w:rPr>
          <w:rFonts w:ascii="Times New Roman" w:hAnsi="Times New Roman" w:cs="Times New Roman"/>
          <w:sz w:val="28"/>
          <w:szCs w:val="24"/>
        </w:rPr>
        <w:t xml:space="preserve"> &amp; </w:t>
      </w:r>
      <w:proofErr w:type="spellStart"/>
      <w:r w:rsidRPr="00936BCB">
        <w:rPr>
          <w:rFonts w:ascii="Times New Roman" w:hAnsi="Times New Roman" w:cs="Times New Roman"/>
          <w:sz w:val="28"/>
          <w:szCs w:val="24"/>
        </w:rPr>
        <w:t>Kinscherff</w:t>
      </w:r>
      <w:proofErr w:type="spellEnd"/>
      <w:r w:rsidRPr="00936BCB">
        <w:rPr>
          <w:rFonts w:ascii="Times New Roman" w:hAnsi="Times New Roman" w:cs="Times New Roman"/>
          <w:sz w:val="28"/>
          <w:szCs w:val="24"/>
        </w:rPr>
        <w:t xml:space="preserve">, 2010; Knapp, </w:t>
      </w:r>
      <w:proofErr w:type="spellStart"/>
      <w:r w:rsidRPr="00936BCB">
        <w:rPr>
          <w:rFonts w:ascii="Times New Roman" w:hAnsi="Times New Roman" w:cs="Times New Roman"/>
          <w:sz w:val="28"/>
          <w:szCs w:val="24"/>
        </w:rPr>
        <w:t>Younggren</w:t>
      </w:r>
      <w:proofErr w:type="spellEnd"/>
      <w:r w:rsidRPr="00936BCB">
        <w:rPr>
          <w:rFonts w:ascii="Times New Roman" w:hAnsi="Times New Roman" w:cs="Times New Roman"/>
          <w:sz w:val="28"/>
          <w:szCs w:val="24"/>
        </w:rPr>
        <w:t xml:space="preserve">, </w:t>
      </w:r>
      <w:proofErr w:type="spellStart"/>
      <w:r w:rsidRPr="00936BCB">
        <w:rPr>
          <w:rFonts w:ascii="Times New Roman" w:hAnsi="Times New Roman" w:cs="Times New Roman"/>
          <w:sz w:val="28"/>
          <w:szCs w:val="24"/>
        </w:rPr>
        <w:t>VandeCreek</w:t>
      </w:r>
      <w:proofErr w:type="spellEnd"/>
      <w:r w:rsidRPr="00936BCB">
        <w:rPr>
          <w:rFonts w:ascii="Times New Roman" w:hAnsi="Times New Roman" w:cs="Times New Roman"/>
          <w:sz w:val="28"/>
          <w:szCs w:val="24"/>
        </w:rPr>
        <w:t xml:space="preserve">, Harris, &amp; Martin, 2013). Nevertheless, the pros and cons of Ethical Issues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143 maintaining confidentiality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are worthy of discussion because counselors have some latitude regarding how they handle this. First, counselors who do not view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psychotherapy presumably are not constrained by psychotherapy law or by ethical standards that apply only to psychotherapy. Second, the same ambiguity might arise for counselors who do view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psychotherapy if this characterization were to be overruled by a court. Finally, even counselors who view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psychotherapy can guide clients toward or away from consenting to disclosures. These counselors may even impose requirements regarding confidentiality as a condition of providing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lastRenderedPageBreak/>
        <w:t xml:space="preserve">The pragmatic reasons to ensure confidentiality in psychotherapy and mediation are to increase clients’ ability to speak freely (Kelly, 2004; Miller &amp; </w:t>
      </w:r>
      <w:proofErr w:type="spellStart"/>
      <w:r w:rsidRPr="00936BCB">
        <w:rPr>
          <w:rFonts w:ascii="Times New Roman" w:hAnsi="Times New Roman" w:cs="Times New Roman"/>
          <w:sz w:val="28"/>
          <w:szCs w:val="24"/>
        </w:rPr>
        <w:t>Thelen</w:t>
      </w:r>
      <w:proofErr w:type="spellEnd"/>
      <w:r w:rsidRPr="00936BCB">
        <w:rPr>
          <w:rFonts w:ascii="Times New Roman" w:hAnsi="Times New Roman" w:cs="Times New Roman"/>
          <w:sz w:val="28"/>
          <w:szCs w:val="24"/>
        </w:rPr>
        <w:t xml:space="preserve">, 1986) and to remove incentive to say things designed to make a good impression on a judge or otherwise win advantage in some external setting. These are presumably the reasons that some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such as Johnston et al. (2009), ask clients to agree that, unless both parents and the counselor agree, no information will ever be shared with a court. On the other hand, disclosure of information from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serves the court’s need for information to make decisions in the best interest of children and may, thereby, improve outcomes for the children. In some cases, moreover, one question before the court is whether the parents will be required to continue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and courts are in a poor position to make this decision if they have no information regarding what has happened in counseling so far. Moreover, given a parenting coordinator’s responsibility to integrate the work of therapists for the family (Greenberg &amp; Sullivan, 2012)</w:t>
      </w:r>
      <w:proofErr w:type="gramStart"/>
      <w:r w:rsidRPr="00936BCB">
        <w:rPr>
          <w:rFonts w:ascii="Times New Roman" w:hAnsi="Times New Roman" w:cs="Times New Roman"/>
          <w:sz w:val="28"/>
          <w:szCs w:val="24"/>
        </w:rPr>
        <w:t>,</w:t>
      </w:r>
      <w:proofErr w:type="gramEnd"/>
      <w:r w:rsidRPr="00936BCB">
        <w:rPr>
          <w:rFonts w:ascii="Times New Roman" w:hAnsi="Times New Roman" w:cs="Times New Roman"/>
          <w:sz w:val="28"/>
          <w:szCs w:val="24"/>
        </w:rPr>
        <w:t xml:space="preserve"> it would be ethically questionable at best for a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to attempt to avoid information-sharing with a parenting coordinator.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To an extent, the counselor’s position on the confidentiality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may reflect his or her view of whether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a component of a therapeutic undertaking or a legal=judicial one. </w:t>
      </w:r>
      <w:proofErr w:type="gramStart"/>
      <w:r w:rsidRPr="00936BCB">
        <w:rPr>
          <w:rFonts w:ascii="Times New Roman" w:hAnsi="Times New Roman" w:cs="Times New Roman"/>
          <w:sz w:val="28"/>
          <w:szCs w:val="24"/>
        </w:rPr>
        <w:t xml:space="preserve">If the former, then maximizing confidentiality from attorneys and the courts will likely be seen as the </w:t>
      </w:r>
      <w:r w:rsidRPr="00936BCB">
        <w:rPr>
          <w:rFonts w:ascii="Times New Roman" w:hAnsi="Times New Roman" w:cs="Times New Roman"/>
          <w:sz w:val="28"/>
          <w:szCs w:val="24"/>
        </w:rPr>
        <w:lastRenderedPageBreak/>
        <w:t>correct course.</w:t>
      </w:r>
      <w:proofErr w:type="gramEnd"/>
      <w:r w:rsidRPr="00936BCB">
        <w:rPr>
          <w:rFonts w:ascii="Times New Roman" w:hAnsi="Times New Roman" w:cs="Times New Roman"/>
          <w:sz w:val="28"/>
          <w:szCs w:val="24"/>
        </w:rPr>
        <w:t xml:space="preserve"> If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seen as a part of the legal process, appropriate information-sharing will make the most sense. This issue is further discussed in the section below on interaction with attorneys and the court. </w:t>
      </w:r>
    </w:p>
    <w:p w:rsidR="001A296E" w:rsidRDefault="001A296E" w:rsidP="00936BCB">
      <w:pPr>
        <w:spacing w:line="480" w:lineRule="auto"/>
        <w:ind w:firstLine="720"/>
        <w:rPr>
          <w:rFonts w:ascii="Times New Roman" w:hAnsi="Times New Roman" w:cs="Times New Roman"/>
          <w:sz w:val="28"/>
          <w:szCs w:val="24"/>
        </w:rPr>
      </w:pPr>
      <w:r>
        <w:rPr>
          <w:rFonts w:ascii="Times New Roman" w:hAnsi="Times New Roman" w:cs="Times New Roman"/>
          <w:sz w:val="28"/>
          <w:szCs w:val="24"/>
        </w:rPr>
        <w:t xml:space="preserve">  </w:t>
      </w:r>
      <w:r w:rsidR="00936BCB" w:rsidRPr="00936BCB">
        <w:rPr>
          <w:rFonts w:ascii="Times New Roman" w:hAnsi="Times New Roman" w:cs="Times New Roman"/>
          <w:sz w:val="28"/>
          <w:szCs w:val="24"/>
        </w:rPr>
        <w:t xml:space="preserve">Requiring clients to agree that they will not disclose information without the agreement of the counselor (e.g., Johnston et al., 2009) is ethically and legally complex. On the one hand, such a requirement may increase the effectiveness of the counseling and even, in some instances, make the difference between success and failure. On the other hand, the overall decision of whether information is confidential is generally made by policy makers through laws on privilege, and the decision about whether to disclose 144 B. </w:t>
      </w:r>
      <w:proofErr w:type="spellStart"/>
      <w:r w:rsidR="00936BCB" w:rsidRPr="00936BCB">
        <w:rPr>
          <w:rFonts w:ascii="Times New Roman" w:hAnsi="Times New Roman" w:cs="Times New Roman"/>
          <w:sz w:val="28"/>
          <w:szCs w:val="24"/>
        </w:rPr>
        <w:t>Fridhandler</w:t>
      </w:r>
      <w:proofErr w:type="spellEnd"/>
      <w:r w:rsidR="00936BCB" w:rsidRPr="00936BCB">
        <w:rPr>
          <w:rFonts w:ascii="Times New Roman" w:hAnsi="Times New Roman" w:cs="Times New Roman"/>
          <w:sz w:val="28"/>
          <w:szCs w:val="24"/>
        </w:rPr>
        <w:t xml:space="preserve"> and M. </w:t>
      </w:r>
      <w:proofErr w:type="spellStart"/>
      <w:r w:rsidR="00936BCB" w:rsidRPr="00936BCB">
        <w:rPr>
          <w:rFonts w:ascii="Times New Roman" w:hAnsi="Times New Roman" w:cs="Times New Roman"/>
          <w:sz w:val="28"/>
          <w:szCs w:val="24"/>
        </w:rPr>
        <w:t>Lehmer</w:t>
      </w:r>
      <w:proofErr w:type="spellEnd"/>
      <w:r w:rsidR="00936BCB" w:rsidRPr="00936BCB">
        <w:rPr>
          <w:rFonts w:ascii="Times New Roman" w:hAnsi="Times New Roman" w:cs="Times New Roman"/>
          <w:sz w:val="28"/>
          <w:szCs w:val="24"/>
        </w:rPr>
        <w:t xml:space="preserve"> information from a specific therapy is generally made by the client or clients. Therefore, a counselor who imposes confidentiality is arguably usurping the prerogatives of policy makers and clients. Regarding legal basis, psychotherapy privilege would not appear to provide a basis for this practice even when counseling is considered psychotherapy because privilege is held by the patient; contract law is more likely to be applicable as a basis for such a requirement (Donner &amp; Alban, 2010).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Couples therapists typically require consent of both members of the couple in order to reveal any information but sometimes make exceptions to this, such as disclosing information about one member of the couple to his or her individual </w:t>
      </w:r>
      <w:proofErr w:type="gramStart"/>
      <w:r w:rsidRPr="00936BCB">
        <w:rPr>
          <w:rFonts w:ascii="Times New Roman" w:hAnsi="Times New Roman" w:cs="Times New Roman"/>
          <w:sz w:val="28"/>
          <w:szCs w:val="24"/>
        </w:rPr>
        <w:t>therapist</w:t>
      </w:r>
      <w:proofErr w:type="gramEnd"/>
      <w:r w:rsidRPr="00936BCB">
        <w:rPr>
          <w:rFonts w:ascii="Times New Roman" w:hAnsi="Times New Roman" w:cs="Times New Roman"/>
          <w:sz w:val="28"/>
          <w:szCs w:val="24"/>
        </w:rPr>
        <w:t xml:space="preserve"> with only that member’s consent.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should, by the </w:t>
      </w:r>
      <w:r w:rsidRPr="00936BCB">
        <w:rPr>
          <w:rFonts w:ascii="Times New Roman" w:hAnsi="Times New Roman" w:cs="Times New Roman"/>
          <w:sz w:val="28"/>
          <w:szCs w:val="24"/>
        </w:rPr>
        <w:lastRenderedPageBreak/>
        <w:t xml:space="preserve">same token, have a policy in place as to whether both parents’ consent will be required for disclosures or whether information about one parent may be disclosed with only that parent’s consent.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Counselors should develop their stance on confidentiality after consideration </w:t>
      </w:r>
      <w:proofErr w:type="gramStart"/>
      <w:r w:rsidRPr="00936BCB">
        <w:rPr>
          <w:rFonts w:ascii="Times New Roman" w:hAnsi="Times New Roman" w:cs="Times New Roman"/>
          <w:sz w:val="28"/>
          <w:szCs w:val="24"/>
        </w:rPr>
        <w:t>of</w:t>
      </w:r>
      <w:proofErr w:type="gramEnd"/>
      <w:r w:rsidRPr="00936BCB">
        <w:rPr>
          <w:rFonts w:ascii="Times New Roman" w:hAnsi="Times New Roman" w:cs="Times New Roman"/>
          <w:sz w:val="28"/>
          <w:szCs w:val="24"/>
        </w:rPr>
        <w:t xml:space="preserve"> the above issues. They should also, in the words of the American Psychological Association (APA) Ethics Code (2010), recognize that ‘‘the extent and limits of confidentiality may be regulated by law’’ (Standard 4.01). That is, despite assertions of psychotherapy privilege or signed agreements by parents, court orders or later actions by parents might nevertheless lead to disclosures. In practice, it is likely that confidentiality is best decided case-by-case, based on the above considerations, with diminished information-sharing over time as the parents grow more able to care independently for their children, no longer relying on the court or a parenting coordinator. In any event, ethical practice for the counselor is to settle on an approach to confidentiality after consideration of the relevant issues, provide clear information about his or her approach, and respect the parents’ autonomy and the role of policy makers with regard to information-sharing while nevertheless instituting a policy on confidentiality and </w:t>
      </w:r>
      <w:proofErr w:type="spellStart"/>
      <w:r w:rsidRPr="00936BCB">
        <w:rPr>
          <w:rFonts w:ascii="Times New Roman" w:hAnsi="Times New Roman" w:cs="Times New Roman"/>
          <w:sz w:val="28"/>
          <w:szCs w:val="24"/>
        </w:rPr>
        <w:t>informationsharing</w:t>
      </w:r>
      <w:proofErr w:type="spellEnd"/>
      <w:r w:rsidRPr="00936BCB">
        <w:rPr>
          <w:rFonts w:ascii="Times New Roman" w:hAnsi="Times New Roman" w:cs="Times New Roman"/>
          <w:sz w:val="28"/>
          <w:szCs w:val="24"/>
        </w:rPr>
        <w:t xml:space="preserve"> that permits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to succeed.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As likely goes without saying, counselors should disclose information only to those whose professional role requires the information and should limit </w:t>
      </w:r>
      <w:r w:rsidRPr="00936BCB">
        <w:rPr>
          <w:rFonts w:ascii="Times New Roman" w:hAnsi="Times New Roman" w:cs="Times New Roman"/>
          <w:sz w:val="28"/>
          <w:szCs w:val="24"/>
        </w:rPr>
        <w:lastRenderedPageBreak/>
        <w:t xml:space="preserve">disclosure to information relevant to the purpose at hand (see APA, 2010, Standard 4.04; National Association of Social Workers [NASW], 2008, Standard 1.07[c]). This principle applies whether or not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viewed as psychotherapy.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If the counselor sees the parents in separate sessions, the question of whether he or she will keep information revealed in these sessions private from the other parent is more a clinical question than an ethical one. If the counselor sees the children in separate sessions, clinical considerations should guide the counselor as to whether to share information from these sessions with the parents. However, before deciding to withhold information from parents, the counselor should consider the ethical and possible legal issues involved in withholding potentially important information about Ethical Issues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145 children from their parents (Knapp et al., 2013). Though clinical considerations predominate regarding information-sharing from separate contacts, an ethical principle comes into play and contributes to the decision about whether some, all, or none of the information will remain private. When separate contacts occur, there is potential blurring as to who the counselor’s client is. A separate meeting establishes a kind of relationship between the counselor and that parent or child, who may feel the counselor is on his or her ‘‘side.’’ Thus, clarity within the counselor’s own mind and in his or her communication with parents and children </w:t>
      </w:r>
      <w:r w:rsidRPr="00936BCB">
        <w:rPr>
          <w:rFonts w:ascii="Times New Roman" w:hAnsi="Times New Roman" w:cs="Times New Roman"/>
          <w:sz w:val="28"/>
          <w:szCs w:val="24"/>
        </w:rPr>
        <w:lastRenderedPageBreak/>
        <w:t xml:space="preserve">on this question is important (APA, 2010, Standard 10.02[a]; NASW, 2008, Standard 1.06[d]). Most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consider the primary goal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to be improved caretaking of the children and this goal guides all their contacts. Parents and children meeting separately with the counselor should be helped to understand that the meeting does not carry the implication that the counselor will advocate for his or her wishes or necessarily adopt his or her perspective on the situation. It may help in conveying this aspect of the counselor’s role to state that nothing from separate meetings should be assumed to be confidential and the counselor may bring the information into conjoint meetings with the parents.</w:t>
      </w:r>
    </w:p>
    <w:p w:rsidR="001A296E" w:rsidRPr="001A296E" w:rsidRDefault="00936BCB" w:rsidP="00936BCB">
      <w:pPr>
        <w:spacing w:line="480" w:lineRule="auto"/>
        <w:ind w:firstLine="720"/>
        <w:rPr>
          <w:rFonts w:ascii="Times New Roman" w:hAnsi="Times New Roman" w:cs="Times New Roman"/>
          <w:sz w:val="24"/>
          <w:szCs w:val="24"/>
        </w:rPr>
      </w:pPr>
      <w:r w:rsidRPr="001A296E">
        <w:rPr>
          <w:rFonts w:ascii="Times New Roman" w:hAnsi="Times New Roman" w:cs="Times New Roman"/>
          <w:sz w:val="24"/>
          <w:szCs w:val="24"/>
        </w:rPr>
        <w:t xml:space="preserve"> COUNSELORS’ INTERACTIONS WITH ATTORNEYS AND THE COURT</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The question of whether the counselor will interact with attorneys and the </w:t>
      </w:r>
      <w:proofErr w:type="gramStart"/>
      <w:r w:rsidRPr="00936BCB">
        <w:rPr>
          <w:rFonts w:ascii="Times New Roman" w:hAnsi="Times New Roman" w:cs="Times New Roman"/>
          <w:sz w:val="28"/>
          <w:szCs w:val="24"/>
        </w:rPr>
        <w:t>court</w:t>
      </w:r>
      <w:proofErr w:type="gramEnd"/>
      <w:r w:rsidRPr="00936BCB">
        <w:rPr>
          <w:rFonts w:ascii="Times New Roman" w:hAnsi="Times New Roman" w:cs="Times New Roman"/>
          <w:sz w:val="28"/>
          <w:szCs w:val="24"/>
        </w:rPr>
        <w:t xml:space="preserve"> and, if so, what the nature of the interaction will be overlaps with the issue of confidentiality but extends beyond it. First, the counselor can accept information or input without necessarily disclosing it. Second, the issue of confidentiality does not entirely determine the nature and extent of these potential interactions. Much of this will be a clinical consideration rather than an ethical one, turning on the counselor’s view on how the goals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can most effectively be achieved and, more broadly, how the children’s and parents’ needs can most fully be met. The advantages of confidentiality in psychotherapy and mediation are well </w:t>
      </w:r>
      <w:r w:rsidRPr="00936BCB">
        <w:rPr>
          <w:rFonts w:ascii="Times New Roman" w:hAnsi="Times New Roman" w:cs="Times New Roman"/>
          <w:sz w:val="28"/>
          <w:szCs w:val="24"/>
        </w:rPr>
        <w:lastRenderedPageBreak/>
        <w:t xml:space="preserve">recognized. They include enhancing participants’ ability to speak freely and reducing the element of ‘‘secondary gain,’’ as it is called in the psychotherapy context, that is, incentives to present oneself strategically in the hope of gaining some advantage outside the therapy context. In order to obtain these advantages, the therapist generally refrains from interaction with others in the client’s life (McWilliams, 2004). These considerations may lead some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to minimize interactions with attorneys and the court. On the other hand,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have important information for courts making decisions in the children’s best interest and the counseling itself may, in some cases, be more effective if the counselor becomes, to a degree, a member of a team 146 B. </w:t>
      </w:r>
      <w:proofErr w:type="spellStart"/>
      <w:r w:rsidRPr="00936BCB">
        <w:rPr>
          <w:rFonts w:ascii="Times New Roman" w:hAnsi="Times New Roman" w:cs="Times New Roman"/>
          <w:sz w:val="28"/>
          <w:szCs w:val="24"/>
        </w:rPr>
        <w:t>Fridhandler</w:t>
      </w:r>
      <w:proofErr w:type="spellEnd"/>
      <w:r w:rsidRPr="00936BCB">
        <w:rPr>
          <w:rFonts w:ascii="Times New Roman" w:hAnsi="Times New Roman" w:cs="Times New Roman"/>
          <w:sz w:val="28"/>
          <w:szCs w:val="24"/>
        </w:rPr>
        <w:t xml:space="preserve"> and M. </w:t>
      </w:r>
      <w:proofErr w:type="spellStart"/>
      <w:r w:rsidRPr="00936BCB">
        <w:rPr>
          <w:rFonts w:ascii="Times New Roman" w:hAnsi="Times New Roman" w:cs="Times New Roman"/>
          <w:sz w:val="28"/>
          <w:szCs w:val="24"/>
        </w:rPr>
        <w:t>Lehmer</w:t>
      </w:r>
      <w:proofErr w:type="spellEnd"/>
      <w:r w:rsidRPr="00936BCB">
        <w:rPr>
          <w:rFonts w:ascii="Times New Roman" w:hAnsi="Times New Roman" w:cs="Times New Roman"/>
          <w:sz w:val="28"/>
          <w:szCs w:val="24"/>
        </w:rPr>
        <w:t xml:space="preserve"> that includes the court, the parties’ attorneys, and a parent coordinator or other professionals who may be involved (</w:t>
      </w:r>
      <w:proofErr w:type="spellStart"/>
      <w:r w:rsidRPr="00936BCB">
        <w:rPr>
          <w:rFonts w:ascii="Times New Roman" w:hAnsi="Times New Roman" w:cs="Times New Roman"/>
          <w:sz w:val="28"/>
          <w:szCs w:val="24"/>
        </w:rPr>
        <w:t>Fidnick</w:t>
      </w:r>
      <w:proofErr w:type="spellEnd"/>
      <w:r w:rsidRPr="00936BCB">
        <w:rPr>
          <w:rFonts w:ascii="Times New Roman" w:hAnsi="Times New Roman" w:cs="Times New Roman"/>
          <w:sz w:val="28"/>
          <w:szCs w:val="24"/>
        </w:rPr>
        <w:t>, Koch, Greenberg, &amp; Sullivan, 2011; Greenberg, Gould-</w:t>
      </w:r>
      <w:proofErr w:type="spellStart"/>
      <w:r w:rsidRPr="00936BCB">
        <w:rPr>
          <w:rFonts w:ascii="Times New Roman" w:hAnsi="Times New Roman" w:cs="Times New Roman"/>
          <w:sz w:val="28"/>
          <w:szCs w:val="24"/>
        </w:rPr>
        <w:t>Saltman</w:t>
      </w:r>
      <w:proofErr w:type="spellEnd"/>
      <w:r w:rsidRPr="00936BCB">
        <w:rPr>
          <w:rFonts w:ascii="Times New Roman" w:hAnsi="Times New Roman" w:cs="Times New Roman"/>
          <w:sz w:val="28"/>
          <w:szCs w:val="24"/>
        </w:rPr>
        <w:t xml:space="preserve">, &amp; Gottlieb, 2008; </w:t>
      </w:r>
      <w:proofErr w:type="spellStart"/>
      <w:r w:rsidRPr="00936BCB">
        <w:rPr>
          <w:rFonts w:ascii="Times New Roman" w:hAnsi="Times New Roman" w:cs="Times New Roman"/>
          <w:sz w:val="28"/>
          <w:szCs w:val="24"/>
        </w:rPr>
        <w:t>Lehmer</w:t>
      </w:r>
      <w:proofErr w:type="spellEnd"/>
      <w:r w:rsidRPr="00936BCB">
        <w:rPr>
          <w:rFonts w:ascii="Times New Roman" w:hAnsi="Times New Roman" w:cs="Times New Roman"/>
          <w:sz w:val="28"/>
          <w:szCs w:val="24"/>
        </w:rPr>
        <w:t xml:space="preserve">, 1986).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Ethical considerations do not dictate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handling of interaction with attorneys or the court. That is, it may be ethical practice to avoid such interactions or to welcome and foster them. However, the counselor should decide on his or her approach based on a thoughtful consideration of the advantages and disadvantages of different options for the parents and, more importantly, the children. Moreover, principles of informed consent and respect for </w:t>
      </w:r>
      <w:r w:rsidRPr="00936BCB">
        <w:rPr>
          <w:rFonts w:ascii="Times New Roman" w:hAnsi="Times New Roman" w:cs="Times New Roman"/>
          <w:sz w:val="28"/>
          <w:szCs w:val="24"/>
        </w:rPr>
        <w:lastRenderedPageBreak/>
        <w:t xml:space="preserve">the parents’ self-determination (APA, 2010, Principle E, Standard 3.10; NASW, 2008, Standards 1.02, 1.03) require transparency in the handling of these interactions, if they occur. That is, counselors must inform parents as to how they will handle foreseeable situations with regard to interactions with attorneys, the court, and others. If unforeseen situations arise, counselors should confer with parents as to how they will be handled or, at minimum, inform them as to how the counselor will handle them and, if counseling is not court-ordered, give the parents the opportunity to terminate if they choose.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Ethical thinking highlights the importance of interacting or refraining from interaction with attorneys and the court on the basis of what is likely to be most helpful to the children or parents rather than what serves the counselor’s interests or preferences, such as discomfort with the courts or, conversely, a desire to ‘‘network’’ with attorneys. When parents are in litigation, and especially when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has been ordered by the court, the literature on court-involved therapy should be consulted (</w:t>
      </w:r>
      <w:proofErr w:type="spellStart"/>
      <w:r w:rsidRPr="00936BCB">
        <w:rPr>
          <w:rFonts w:ascii="Times New Roman" w:hAnsi="Times New Roman" w:cs="Times New Roman"/>
          <w:sz w:val="28"/>
          <w:szCs w:val="24"/>
        </w:rPr>
        <w:t>Fidnick</w:t>
      </w:r>
      <w:proofErr w:type="spellEnd"/>
      <w:r w:rsidRPr="00936BCB">
        <w:rPr>
          <w:rFonts w:ascii="Times New Roman" w:hAnsi="Times New Roman" w:cs="Times New Roman"/>
          <w:sz w:val="28"/>
          <w:szCs w:val="24"/>
        </w:rPr>
        <w:t xml:space="preserve"> et al., 2011; </w:t>
      </w:r>
      <w:proofErr w:type="spellStart"/>
      <w:r w:rsidRPr="00936BCB">
        <w:rPr>
          <w:rFonts w:ascii="Times New Roman" w:hAnsi="Times New Roman" w:cs="Times New Roman"/>
          <w:sz w:val="28"/>
          <w:szCs w:val="24"/>
        </w:rPr>
        <w:t>Lehmer</w:t>
      </w:r>
      <w:proofErr w:type="spellEnd"/>
      <w:r w:rsidRPr="00936BCB">
        <w:rPr>
          <w:rFonts w:ascii="Times New Roman" w:hAnsi="Times New Roman" w:cs="Times New Roman"/>
          <w:sz w:val="28"/>
          <w:szCs w:val="24"/>
        </w:rPr>
        <w:t xml:space="preserve">, 1986). </w:t>
      </w:r>
    </w:p>
    <w:p w:rsidR="001A296E" w:rsidRDefault="00936BCB" w:rsidP="001A296E">
      <w:pPr>
        <w:spacing w:line="480" w:lineRule="auto"/>
        <w:ind w:firstLine="720"/>
        <w:jc w:val="center"/>
        <w:rPr>
          <w:rFonts w:ascii="Times New Roman" w:hAnsi="Times New Roman" w:cs="Times New Roman"/>
          <w:sz w:val="28"/>
          <w:szCs w:val="24"/>
        </w:rPr>
      </w:pPr>
      <w:r w:rsidRPr="00936BCB">
        <w:rPr>
          <w:rFonts w:ascii="Times New Roman" w:hAnsi="Times New Roman" w:cs="Times New Roman"/>
          <w:sz w:val="28"/>
          <w:szCs w:val="24"/>
        </w:rPr>
        <w:t>COMPETENCE</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w:t>
      </w:r>
      <w:proofErr w:type="spellStart"/>
      <w:r w:rsidRPr="00936BCB">
        <w:rPr>
          <w:rFonts w:ascii="Times New Roman" w:hAnsi="Times New Roman" w:cs="Times New Roman"/>
          <w:sz w:val="28"/>
          <w:szCs w:val="24"/>
        </w:rPr>
        <w:t>Competence</w:t>
      </w:r>
      <w:proofErr w:type="spellEnd"/>
      <w:r w:rsidRPr="00936BCB">
        <w:rPr>
          <w:rFonts w:ascii="Times New Roman" w:hAnsi="Times New Roman" w:cs="Times New Roman"/>
          <w:sz w:val="28"/>
          <w:szCs w:val="24"/>
        </w:rPr>
        <w:t xml:space="preserve"> to provide a service is a requirement for MHPs (APA, 2010, </w:t>
      </w:r>
      <w:proofErr w:type="gramStart"/>
      <w:r w:rsidRPr="00936BCB">
        <w:rPr>
          <w:rFonts w:ascii="Times New Roman" w:hAnsi="Times New Roman" w:cs="Times New Roman"/>
          <w:sz w:val="28"/>
          <w:szCs w:val="24"/>
        </w:rPr>
        <w:t>Standard 2.01; NASW, 2008, Standard 4.01; American Association for Marriage and Family Therapy [AAMFT], 2012, Standard 3.11).</w:t>
      </w:r>
      <w:proofErr w:type="gramEnd"/>
      <w:r w:rsidRPr="00936BCB">
        <w:rPr>
          <w:rFonts w:ascii="Times New Roman" w:hAnsi="Times New Roman" w:cs="Times New Roman"/>
          <w:sz w:val="28"/>
          <w:szCs w:val="24"/>
        </w:rPr>
        <w:t xml:space="preserv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a relatively new area of practice, calls for particular reflection as to the education, </w:t>
      </w:r>
      <w:r w:rsidRPr="00936BCB">
        <w:rPr>
          <w:rFonts w:ascii="Times New Roman" w:hAnsi="Times New Roman" w:cs="Times New Roman"/>
          <w:sz w:val="28"/>
          <w:szCs w:val="24"/>
        </w:rPr>
        <w:lastRenderedPageBreak/>
        <w:t xml:space="preserve">knowledge, training, and experience required to achieve competence. Suggestions are made here. One important question is whether training and experience as a </w:t>
      </w:r>
      <w:proofErr w:type="gramStart"/>
      <w:r w:rsidRPr="00936BCB">
        <w:rPr>
          <w:rFonts w:ascii="Times New Roman" w:hAnsi="Times New Roman" w:cs="Times New Roman"/>
          <w:sz w:val="28"/>
          <w:szCs w:val="24"/>
        </w:rPr>
        <w:t>couples</w:t>
      </w:r>
      <w:proofErr w:type="gramEnd"/>
      <w:r w:rsidRPr="00936BCB">
        <w:rPr>
          <w:rFonts w:ascii="Times New Roman" w:hAnsi="Times New Roman" w:cs="Times New Roman"/>
          <w:sz w:val="28"/>
          <w:szCs w:val="24"/>
        </w:rPr>
        <w:t xml:space="preserve"> therapist is helpful, essential, or problematic for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The </w:t>
      </w:r>
      <w:proofErr w:type="gramStart"/>
      <w:r w:rsidRPr="00936BCB">
        <w:rPr>
          <w:rFonts w:ascii="Times New Roman" w:hAnsi="Times New Roman" w:cs="Times New Roman"/>
          <w:sz w:val="28"/>
          <w:szCs w:val="24"/>
        </w:rPr>
        <w:t>couples</w:t>
      </w:r>
      <w:proofErr w:type="gramEnd"/>
      <w:r w:rsidRPr="00936BCB">
        <w:rPr>
          <w:rFonts w:ascii="Times New Roman" w:hAnsi="Times New Roman" w:cs="Times New Roman"/>
          <w:sz w:val="28"/>
          <w:szCs w:val="24"/>
        </w:rPr>
        <w:t xml:space="preserve"> therapist’s ability to diagnose problematic dynamics and address them with interventions can be of great value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On the other hand,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requires a paradigm shift away from the guiding framework of </w:t>
      </w:r>
      <w:proofErr w:type="gramStart"/>
      <w:r w:rsidRPr="00936BCB">
        <w:rPr>
          <w:rFonts w:ascii="Times New Roman" w:hAnsi="Times New Roman" w:cs="Times New Roman"/>
          <w:sz w:val="28"/>
          <w:szCs w:val="24"/>
        </w:rPr>
        <w:t>couples</w:t>
      </w:r>
      <w:proofErr w:type="gramEnd"/>
      <w:r w:rsidRPr="00936BCB">
        <w:rPr>
          <w:rFonts w:ascii="Times New Roman" w:hAnsi="Times New Roman" w:cs="Times New Roman"/>
          <w:sz w:val="28"/>
          <w:szCs w:val="24"/>
        </w:rPr>
        <w:t xml:space="preserve"> therapy. For most </w:t>
      </w:r>
      <w:proofErr w:type="gramStart"/>
      <w:r w:rsidRPr="00936BCB">
        <w:rPr>
          <w:rFonts w:ascii="Times New Roman" w:hAnsi="Times New Roman" w:cs="Times New Roman"/>
          <w:sz w:val="28"/>
          <w:szCs w:val="24"/>
        </w:rPr>
        <w:t>couples</w:t>
      </w:r>
      <w:proofErr w:type="gramEnd"/>
      <w:r w:rsidRPr="00936BCB">
        <w:rPr>
          <w:rFonts w:ascii="Times New Roman" w:hAnsi="Times New Roman" w:cs="Times New Roman"/>
          <w:sz w:val="28"/>
          <w:szCs w:val="24"/>
        </w:rPr>
        <w:t xml:space="preserve"> therapists, the couple relationship is, in effect, the client. That is, the goal of therapy is to improve the relationship rather than directly to improve the life satisfaction of either of the individuals in it. This Ethical Issues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147 corresponds to the fact that members of couples often think of their relationship as a separate entity, speaking of it as ‘‘good,’’ ‘‘bad,’’ ‘‘getting better,’’ and so on. Accordingly, couples therapy typically terminates if the relationship ends. Parents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by contrast, are no longer in a coupled relationship. Therefore, the work to improve their relationship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needs to be different than work on improving the relationship between members of a couple. A </w:t>
      </w:r>
      <w:proofErr w:type="gramStart"/>
      <w:r w:rsidRPr="00936BCB">
        <w:rPr>
          <w:rFonts w:ascii="Times New Roman" w:hAnsi="Times New Roman" w:cs="Times New Roman"/>
          <w:sz w:val="28"/>
          <w:szCs w:val="24"/>
        </w:rPr>
        <w:t>couples</w:t>
      </w:r>
      <w:proofErr w:type="gramEnd"/>
      <w:r w:rsidRPr="00936BCB">
        <w:rPr>
          <w:rFonts w:ascii="Times New Roman" w:hAnsi="Times New Roman" w:cs="Times New Roman"/>
          <w:sz w:val="28"/>
          <w:szCs w:val="24"/>
        </w:rPr>
        <w:t xml:space="preserve"> therapist who has not undergone a corresponding paradigm shift may fall into conceptualizations or employ interventions that are at odds with the goals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Thus, experience as a </w:t>
      </w:r>
      <w:proofErr w:type="gramStart"/>
      <w:r w:rsidRPr="00936BCB">
        <w:rPr>
          <w:rFonts w:ascii="Times New Roman" w:hAnsi="Times New Roman" w:cs="Times New Roman"/>
          <w:sz w:val="28"/>
          <w:szCs w:val="24"/>
        </w:rPr>
        <w:t>couples</w:t>
      </w:r>
      <w:proofErr w:type="gramEnd"/>
      <w:r w:rsidRPr="00936BCB">
        <w:rPr>
          <w:rFonts w:ascii="Times New Roman" w:hAnsi="Times New Roman" w:cs="Times New Roman"/>
          <w:sz w:val="28"/>
          <w:szCs w:val="24"/>
        </w:rPr>
        <w:t xml:space="preserve"> therapist is very helpful for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w:t>
      </w:r>
      <w:r w:rsidRPr="00936BCB">
        <w:rPr>
          <w:rFonts w:ascii="Times New Roman" w:hAnsi="Times New Roman" w:cs="Times New Roman"/>
          <w:sz w:val="28"/>
          <w:szCs w:val="24"/>
        </w:rPr>
        <w:lastRenderedPageBreak/>
        <w:t xml:space="preserve">but must be accompanied by a well-developed understanding of the difference between couples and </w:t>
      </w:r>
      <w:proofErr w:type="spellStart"/>
      <w:r w:rsidRPr="00936BCB">
        <w:rPr>
          <w:rFonts w:ascii="Times New Roman" w:hAnsi="Times New Roman" w:cs="Times New Roman"/>
          <w:sz w:val="28"/>
          <w:szCs w:val="24"/>
        </w:rPr>
        <w:t>coparents</w:t>
      </w:r>
      <w:proofErr w:type="spellEnd"/>
      <w:r w:rsidRPr="00936BCB">
        <w:rPr>
          <w:rFonts w:ascii="Times New Roman" w:hAnsi="Times New Roman" w:cs="Times New Roman"/>
          <w:sz w:val="28"/>
          <w:szCs w:val="24"/>
        </w:rPr>
        <w:t xml:space="preserve">.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Knowledge of the dynamics of dissolution of a couple relationship, the attendant experience of separation and loss, the impact of IPV on </w:t>
      </w:r>
      <w:proofErr w:type="spellStart"/>
      <w:r w:rsidRPr="00936BCB">
        <w:rPr>
          <w:rFonts w:ascii="Times New Roman" w:hAnsi="Times New Roman" w:cs="Times New Roman"/>
          <w:sz w:val="28"/>
          <w:szCs w:val="24"/>
        </w:rPr>
        <w:t>coparenting</w:t>
      </w:r>
      <w:proofErr w:type="spellEnd"/>
      <w:r w:rsidRPr="00936BCB">
        <w:rPr>
          <w:rFonts w:ascii="Times New Roman" w:hAnsi="Times New Roman" w:cs="Times New Roman"/>
          <w:sz w:val="28"/>
          <w:szCs w:val="24"/>
        </w:rPr>
        <w:t xml:space="preserve">, and the dynamics of subsequent couple relationships and blended families is important for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(Coates et al., 2004; Cohen &amp; Levite, 2012; Fieldstone &amp; Coates, 2008; Hetherington &amp; Kelly, 2008; Levite &amp; Cohen, 2012; Pruett &amp; </w:t>
      </w:r>
      <w:proofErr w:type="spellStart"/>
      <w:r w:rsidRPr="00936BCB">
        <w:rPr>
          <w:rFonts w:ascii="Times New Roman" w:hAnsi="Times New Roman" w:cs="Times New Roman"/>
          <w:sz w:val="28"/>
          <w:szCs w:val="24"/>
        </w:rPr>
        <w:t>Donsky</w:t>
      </w:r>
      <w:proofErr w:type="spellEnd"/>
      <w:r w:rsidRPr="00936BCB">
        <w:rPr>
          <w:rFonts w:ascii="Times New Roman" w:hAnsi="Times New Roman" w:cs="Times New Roman"/>
          <w:sz w:val="28"/>
          <w:szCs w:val="24"/>
        </w:rPr>
        <w:t xml:space="preserve">, 2012). Equally important is an understanding of children’s experience of such events and how the painful and potentially harmful aspects of their experience can be exacerbated or diminished by their parents’ actions. A solid understanding of child development is also important to help parents focus on the issues of current importance for their children and distinguish between age-appropriate upheavals, stress associated with restructuring the family, and psychopathology. In addition, knowledge of family law issues and processes is necessary for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unless the counselor restricts his or her practice to the relatively small segment of this population that has not been involved with the courts [APA, 2010, Standard 2.01(f)]. </w:t>
      </w:r>
    </w:p>
    <w:p w:rsidR="001A296E" w:rsidRDefault="00936BCB" w:rsidP="001A296E">
      <w:pPr>
        <w:spacing w:line="480" w:lineRule="auto"/>
        <w:ind w:firstLine="720"/>
        <w:jc w:val="center"/>
        <w:rPr>
          <w:rFonts w:ascii="Times New Roman" w:hAnsi="Times New Roman" w:cs="Times New Roman"/>
          <w:sz w:val="28"/>
          <w:szCs w:val="24"/>
        </w:rPr>
      </w:pPr>
      <w:r w:rsidRPr="00936BCB">
        <w:rPr>
          <w:rFonts w:ascii="Times New Roman" w:hAnsi="Times New Roman" w:cs="Times New Roman"/>
          <w:sz w:val="28"/>
          <w:szCs w:val="24"/>
        </w:rPr>
        <w:t xml:space="preserve">Mediation training is important for those counselors who assist parents in reaching agreements to augment their parenting plan. Some counselors may routinely approach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in this fashion (though these counselors are </w:t>
      </w:r>
      <w:r w:rsidRPr="00936BCB">
        <w:rPr>
          <w:rFonts w:ascii="Times New Roman" w:hAnsi="Times New Roman" w:cs="Times New Roman"/>
          <w:sz w:val="28"/>
          <w:szCs w:val="24"/>
        </w:rPr>
        <w:lastRenderedPageBreak/>
        <w:t xml:space="preserve">more likely to define the modality as parenting coordination without decision-making authority than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whereas other counselors may shift the focus to concrete agreements when parents prove unable to utilize a more relationally oriented approach. Because all parents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are likely to benefit at times from assistance in reaching and codifying concrete agreements, mediation training is likely to be helpful for all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CONTACT WITH THE CHILDREN</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Most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have no contact with the children. If they have information about the children beyond the parents’ reports, they typically 148 B. </w:t>
      </w:r>
      <w:proofErr w:type="spellStart"/>
      <w:r w:rsidRPr="00936BCB">
        <w:rPr>
          <w:rFonts w:ascii="Times New Roman" w:hAnsi="Times New Roman" w:cs="Times New Roman"/>
          <w:sz w:val="28"/>
          <w:szCs w:val="24"/>
        </w:rPr>
        <w:t>Fridhandler</w:t>
      </w:r>
      <w:proofErr w:type="spellEnd"/>
      <w:r w:rsidRPr="00936BCB">
        <w:rPr>
          <w:rFonts w:ascii="Times New Roman" w:hAnsi="Times New Roman" w:cs="Times New Roman"/>
          <w:sz w:val="28"/>
          <w:szCs w:val="24"/>
        </w:rPr>
        <w:t xml:space="preserve"> and M. </w:t>
      </w:r>
      <w:proofErr w:type="spellStart"/>
      <w:r w:rsidRPr="00936BCB">
        <w:rPr>
          <w:rFonts w:ascii="Times New Roman" w:hAnsi="Times New Roman" w:cs="Times New Roman"/>
          <w:sz w:val="28"/>
          <w:szCs w:val="24"/>
        </w:rPr>
        <w:t>Lehmer</w:t>
      </w:r>
      <w:proofErr w:type="spellEnd"/>
      <w:r w:rsidRPr="00936BCB">
        <w:rPr>
          <w:rFonts w:ascii="Times New Roman" w:hAnsi="Times New Roman" w:cs="Times New Roman"/>
          <w:sz w:val="28"/>
          <w:szCs w:val="24"/>
        </w:rPr>
        <w:t xml:space="preserve"> receive it through the children’s therapists or a previous custody evaluation. However, occasionally some counselors do involve the children to a degree. For example, Johnston et al.’s (2009) model requires that, unless they are in psychotherapy with a therapist with whom the counselor works closely, the counselor sees the children from time to time in order in order to understand their experience of their parents’ conflict and its impact on them. Thus, ethical issues related to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contact with the children are considered here.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The first question to consider is whether a single counselor meeting with the parents and the children constitutes taking on problematic or prohibited dual roles. It is instructive to note that in the related modality of child-inclusive mediation </w:t>
      </w:r>
      <w:r w:rsidRPr="00936BCB">
        <w:rPr>
          <w:rFonts w:ascii="Times New Roman" w:hAnsi="Times New Roman" w:cs="Times New Roman"/>
          <w:sz w:val="28"/>
          <w:szCs w:val="24"/>
        </w:rPr>
        <w:lastRenderedPageBreak/>
        <w:t>(McIntosh, Wells, Smyth, &amp; Long, 2008)</w:t>
      </w:r>
      <w:proofErr w:type="gramStart"/>
      <w:r w:rsidRPr="00936BCB">
        <w:rPr>
          <w:rFonts w:ascii="Times New Roman" w:hAnsi="Times New Roman" w:cs="Times New Roman"/>
          <w:sz w:val="28"/>
          <w:szCs w:val="24"/>
        </w:rPr>
        <w:t>,</w:t>
      </w:r>
      <w:proofErr w:type="gramEnd"/>
      <w:r w:rsidRPr="00936BCB">
        <w:rPr>
          <w:rFonts w:ascii="Times New Roman" w:hAnsi="Times New Roman" w:cs="Times New Roman"/>
          <w:sz w:val="28"/>
          <w:szCs w:val="24"/>
        </w:rPr>
        <w:t xml:space="preserve"> separate professionals take on these responsibilities. On the other hand, custody evaluators (</w:t>
      </w:r>
      <w:proofErr w:type="spellStart"/>
      <w:r w:rsidRPr="00936BCB">
        <w:rPr>
          <w:rFonts w:ascii="Times New Roman" w:hAnsi="Times New Roman" w:cs="Times New Roman"/>
          <w:sz w:val="28"/>
          <w:szCs w:val="24"/>
        </w:rPr>
        <w:t>Rohrbaugh</w:t>
      </w:r>
      <w:proofErr w:type="spellEnd"/>
      <w:r w:rsidRPr="00936BCB">
        <w:rPr>
          <w:rFonts w:ascii="Times New Roman" w:hAnsi="Times New Roman" w:cs="Times New Roman"/>
          <w:sz w:val="28"/>
          <w:szCs w:val="24"/>
        </w:rPr>
        <w:t xml:space="preserve">, 2008) routinely meet separately with children and parents. As a result, it is evident that meeting separately with children and parents does not, in itself, constitute taking on unethical dual roles. The determining factor in whether contact with children leads to dual roles is the way contacts are handled by the counselor. In order to avoid dual roles, the counselor must have an explicit formulation of how child contacts are an aspect of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and be sure that these contacts are handled as part of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role rather than drifting into interventions appropriate to child psychotherapy, for example. This requires clarity on the counselor’s part about the purpose of contact with the children. Is it, for example, to evaluate and understand what they need from their parents, to learn more about the parents and their interaction with each other when the children are present, to diagnose possible psychological problems in the children, to obtain their input and ‘‘voice’’ in decisions their parents are making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sessions, and so on?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Competence to work with children requires specific knowledge, training, </w:t>
      </w:r>
      <w:proofErr w:type="gramStart"/>
      <w:r w:rsidRPr="00936BCB">
        <w:rPr>
          <w:rFonts w:ascii="Times New Roman" w:hAnsi="Times New Roman" w:cs="Times New Roman"/>
          <w:sz w:val="28"/>
          <w:szCs w:val="24"/>
        </w:rPr>
        <w:t>and</w:t>
      </w:r>
      <w:proofErr w:type="gramEnd"/>
      <w:r w:rsidRPr="00936BCB">
        <w:rPr>
          <w:rFonts w:ascii="Times New Roman" w:hAnsi="Times New Roman" w:cs="Times New Roman"/>
          <w:sz w:val="28"/>
          <w:szCs w:val="24"/>
        </w:rPr>
        <w:t xml:space="preserve"> experience. Before meeting with children, a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should have training in child development and consultation or training in interviewing children and adolescents. </w:t>
      </w:r>
    </w:p>
    <w:p w:rsidR="001A296E" w:rsidRDefault="00936BCB" w:rsidP="001A296E">
      <w:pPr>
        <w:spacing w:line="480" w:lineRule="auto"/>
        <w:ind w:firstLine="720"/>
        <w:jc w:val="center"/>
        <w:rPr>
          <w:rFonts w:ascii="Times New Roman" w:hAnsi="Times New Roman" w:cs="Times New Roman"/>
          <w:sz w:val="28"/>
          <w:szCs w:val="24"/>
        </w:rPr>
      </w:pPr>
      <w:r w:rsidRPr="00936BCB">
        <w:rPr>
          <w:rFonts w:ascii="Times New Roman" w:hAnsi="Times New Roman" w:cs="Times New Roman"/>
          <w:sz w:val="28"/>
          <w:szCs w:val="24"/>
        </w:rPr>
        <w:lastRenderedPageBreak/>
        <w:t>INSURANCE BILLING</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Understandably, parents often ask whether they can use their health insurance to help pay for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Courts, moreover, are interested in lightening the financial burden of interventions they order and thus are likely to favor steps counselors can take to make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available under parents’ insurance. The ethical and legal requirements for the counselor, however, are significant.2 </w:t>
      </w:r>
      <w:proofErr w:type="gramStart"/>
      <w:r w:rsidRPr="00936BCB">
        <w:rPr>
          <w:rFonts w:ascii="Times New Roman" w:hAnsi="Times New Roman" w:cs="Times New Roman"/>
          <w:sz w:val="28"/>
          <w:szCs w:val="24"/>
        </w:rPr>
        <w:t>Mental</w:t>
      </w:r>
      <w:proofErr w:type="gramEnd"/>
      <w:r w:rsidRPr="00936BCB">
        <w:rPr>
          <w:rFonts w:ascii="Times New Roman" w:hAnsi="Times New Roman" w:cs="Times New Roman"/>
          <w:sz w:val="28"/>
          <w:szCs w:val="24"/>
        </w:rPr>
        <w:t xml:space="preserve"> health providers often directly bill insurance companies for their services, particularly when they have a contract with the company. Alternatively, providers may prepare Ethical Issues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149 a bill, often called a ‘‘superbill,’’ containing the information the client will need to seek reimbursement from the payer. Although providers in the latter situation are generally free of contractual obligations with the payer, the same ethical issues regarding accuracy and honesty apply.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Because health insurance covers treatment of recognized disorders, bills submitted to payers must indicate what treatment procedure was carried out and what disorder it was intended to treat. Ethical billing practice requires the practitioner to be accurate and honest regarding both procedures and diagnoses. If there is risk of miscommunication regarding the nature of a procedure, ethical practice requires the practitioner to take reasonable steps to accurately convey to the payer the nature of the service provided. Most if not all mental health insurance </w:t>
      </w:r>
      <w:r w:rsidRPr="00936BCB">
        <w:rPr>
          <w:rFonts w:ascii="Times New Roman" w:hAnsi="Times New Roman" w:cs="Times New Roman"/>
          <w:sz w:val="28"/>
          <w:szCs w:val="24"/>
        </w:rPr>
        <w:lastRenderedPageBreak/>
        <w:t xml:space="preserve">payers use the Diagnostic and Statistical Manual of Mental Disorders (DSM; American Psychiatric Association, 2013) for diagnoses and the Current Procedural Terminology (CPT) code system (American Medical Association, 2012) for procedure names, descriptions, and numbers. </w:t>
      </w:r>
      <w:proofErr w:type="gramStart"/>
      <w:r w:rsidRPr="00936BCB">
        <w:rPr>
          <w:rFonts w:ascii="Times New Roman" w:hAnsi="Times New Roman" w:cs="Times New Roman"/>
          <w:sz w:val="28"/>
          <w:szCs w:val="24"/>
        </w:rPr>
        <w:t xml:space="preserve">Thus, the issue of ethical billing practice for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mostly boils down to the interlocking questions of which DSM diagnoses and CPT procedures may be appropriate.</w:t>
      </w:r>
      <w:proofErr w:type="gramEnd"/>
      <w:r w:rsidRPr="00936BCB">
        <w:rPr>
          <w:rFonts w:ascii="Times New Roman" w:hAnsi="Times New Roman" w:cs="Times New Roman"/>
          <w:sz w:val="28"/>
          <w:szCs w:val="24"/>
        </w:rPr>
        <w:t xml:space="preserve">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The procedures in the CPT code system that have the best chance of accurately conveying the nature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are likely to be ‘‘Family psychotherapy, conjoint psychotherapy with the patient present’’ (often used for couples therapy) and ‘‘Family psychotherapy without the patient present’’ (often used for collateral sessions in the psychotherapy of a child). Turning to the question of what disorder is being treated by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we encounter two reasons that the first of these two procedures may not be relevant for insurance billing. The DSM-5 diagnostic possibilities for conjoint psychotherapy with the patient present are, first, a disorder in one of the parents, which is not what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intended to treat, or, second, ‘‘Disruption of Family by Separation or Divorce,’’ which is not viewed as a disorder and, as such, may not lead to reimbursement. On the other hand, ‘‘Family psychotherapy without the patient present ’’ would be appropriate if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undertaken as an adjunct to treatment of one or more of the children, provided the child has been </w:t>
      </w:r>
      <w:r w:rsidRPr="00936BCB">
        <w:rPr>
          <w:rFonts w:ascii="Times New Roman" w:hAnsi="Times New Roman" w:cs="Times New Roman"/>
          <w:sz w:val="28"/>
          <w:szCs w:val="24"/>
        </w:rPr>
        <w:lastRenderedPageBreak/>
        <w:t xml:space="preserve">diagnosed with a psychological disorder. The diagnosis and treatment of the child would be conducted by a different therapist. </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The question of whether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seen by the counselor as a form of psychotherapy is relevant to the ethics of insurance billing. In order for health insurance ethically to be billed, there must be treatment involved. In the case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the possibilities are conjoint psychotherapy of the parents, which excludes counselors who do not view this modality as a form of treatment, or a separate psychotherapy of one or more of the children, which might justify insurance billing even when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not viewed as treatment as long as it is integrated with ongoing treatment of a child. 150 B. </w:t>
      </w:r>
      <w:proofErr w:type="spellStart"/>
      <w:r w:rsidRPr="00936BCB">
        <w:rPr>
          <w:rFonts w:ascii="Times New Roman" w:hAnsi="Times New Roman" w:cs="Times New Roman"/>
          <w:sz w:val="28"/>
          <w:szCs w:val="24"/>
        </w:rPr>
        <w:t>Fridhandler</w:t>
      </w:r>
      <w:proofErr w:type="spellEnd"/>
      <w:r w:rsidRPr="00936BCB">
        <w:rPr>
          <w:rFonts w:ascii="Times New Roman" w:hAnsi="Times New Roman" w:cs="Times New Roman"/>
          <w:sz w:val="28"/>
          <w:szCs w:val="24"/>
        </w:rPr>
        <w:t xml:space="preserve"> and M. </w:t>
      </w:r>
      <w:proofErr w:type="spellStart"/>
      <w:r w:rsidRPr="00936BCB">
        <w:rPr>
          <w:rFonts w:ascii="Times New Roman" w:hAnsi="Times New Roman" w:cs="Times New Roman"/>
          <w:sz w:val="28"/>
          <w:szCs w:val="24"/>
        </w:rPr>
        <w:t>Lehmer</w:t>
      </w:r>
      <w:proofErr w:type="spellEnd"/>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In short, if a </w:t>
      </w:r>
      <w:proofErr w:type="spellStart"/>
      <w:r w:rsidRPr="00936BCB">
        <w:rPr>
          <w:rFonts w:ascii="Times New Roman" w:hAnsi="Times New Roman" w:cs="Times New Roman"/>
          <w:sz w:val="28"/>
          <w:szCs w:val="24"/>
        </w:rPr>
        <w:t>payer</w:t>
      </w:r>
      <w:proofErr w:type="spellEnd"/>
      <w:r w:rsidRPr="00936BCB">
        <w:rPr>
          <w:rFonts w:ascii="Times New Roman" w:hAnsi="Times New Roman" w:cs="Times New Roman"/>
          <w:sz w:val="28"/>
          <w:szCs w:val="24"/>
        </w:rPr>
        <w:t xml:space="preserve"> is using the DSM and CPT system, successful and ethical insurance billing for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whether done directly by the counselor or by providing the parents with a bill, is likely to be limited to cases in which one or more of the children is in treatment for psychological diagnoses, the counseling is oriented to a child’s diagnosed difficulties, and the counseling is integrated with an ongoing child psychotherapy. If no child is in treatment, counselors who view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psychotherapy of the parents may ethically list the DSM-5 diagnosis of Disruption of Family by Separation or Divorce, though this diagnosis may not lead to insurance payment. </w:t>
      </w:r>
    </w:p>
    <w:p w:rsidR="001A296E" w:rsidRDefault="00936BCB" w:rsidP="001A296E">
      <w:pPr>
        <w:spacing w:line="480" w:lineRule="auto"/>
        <w:ind w:left="2160" w:firstLine="720"/>
        <w:rPr>
          <w:rFonts w:ascii="Times New Roman" w:hAnsi="Times New Roman" w:cs="Times New Roman"/>
          <w:sz w:val="28"/>
          <w:szCs w:val="24"/>
        </w:rPr>
      </w:pPr>
      <w:r w:rsidRPr="00936BCB">
        <w:rPr>
          <w:rFonts w:ascii="Times New Roman" w:hAnsi="Times New Roman" w:cs="Times New Roman"/>
          <w:sz w:val="28"/>
          <w:szCs w:val="24"/>
        </w:rPr>
        <w:lastRenderedPageBreak/>
        <w:t>INFORMED CONSENT</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Informed consent is a decision to participate in a treatment or other activity based on adequate information provided by the professional (Campbell et al., 2010). The information can be provided orally, in writing, or both.3 </w:t>
      </w:r>
      <w:proofErr w:type="gramStart"/>
      <w:r w:rsidRPr="00936BCB">
        <w:rPr>
          <w:rFonts w:ascii="Times New Roman" w:hAnsi="Times New Roman" w:cs="Times New Roman"/>
          <w:sz w:val="28"/>
          <w:szCs w:val="24"/>
        </w:rPr>
        <w:t>The</w:t>
      </w:r>
      <w:proofErr w:type="gramEnd"/>
      <w:r w:rsidRPr="00936BCB">
        <w:rPr>
          <w:rFonts w:ascii="Times New Roman" w:hAnsi="Times New Roman" w:cs="Times New Roman"/>
          <w:sz w:val="28"/>
          <w:szCs w:val="24"/>
        </w:rPr>
        <w:t xml:space="preserve"> ethics codes of MHPs mandate elements in informed consent for members of each profession. For instance, the APA (2010) requires that information about psychotherapy include ‘‘the nature and anticipated course of therapy, fees, involvement of third parties, and limits of confidentiality’’ (Standard 10.01) and the NASW (2008) Code of Ethics states it should include ‘‘the purpose of the services, risks related to the services, limits to services because of the requirements of a third-party payer, relevant costs, reasonable alternatives, clients’ right to refuse or withdraw consent, and the time frame covered by the consent’’ (Standard 1.03). Beyond such mandatory elements of informed consent, the information needed varies depending on the treatment and on the concerns and questions of potential clients. Informed consent is best viewed not as a single event in which the parents are expected to understand and consider a large amount of information, nor as the pro forma signing of a form, but instead as a process, early in counseling, of conveying relevant information and helping parents to decide whether to proceed.</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Aspects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that are likely to be relevant in obtaining informed consent include purpose and goals, procedures, fees, separate contacts </w:t>
      </w:r>
      <w:r w:rsidRPr="00936BCB">
        <w:rPr>
          <w:rFonts w:ascii="Times New Roman" w:hAnsi="Times New Roman" w:cs="Times New Roman"/>
          <w:sz w:val="28"/>
          <w:szCs w:val="24"/>
        </w:rPr>
        <w:lastRenderedPageBreak/>
        <w:t xml:space="preserve">with parents, cancellation policies, confidentiality, and related issues, whether the counselor will have contact with attorneys, and whether he or she will have contact </w:t>
      </w:r>
      <w:proofErr w:type="gramStart"/>
      <w:r w:rsidRPr="00936BCB">
        <w:rPr>
          <w:rFonts w:ascii="Times New Roman" w:hAnsi="Times New Roman" w:cs="Times New Roman"/>
          <w:sz w:val="28"/>
          <w:szCs w:val="24"/>
        </w:rPr>
        <w:t>with</w:t>
      </w:r>
      <w:proofErr w:type="gramEnd"/>
      <w:r w:rsidRPr="00936BCB">
        <w:rPr>
          <w:rFonts w:ascii="Times New Roman" w:hAnsi="Times New Roman" w:cs="Times New Roman"/>
          <w:sz w:val="28"/>
          <w:szCs w:val="24"/>
        </w:rPr>
        <w:t xml:space="preserve"> the children. Each of these is discussed in the following sections. Informed consent is </w:t>
      </w:r>
      <w:proofErr w:type="gramStart"/>
      <w:r w:rsidRPr="00936BCB">
        <w:rPr>
          <w:rFonts w:ascii="Times New Roman" w:hAnsi="Times New Roman" w:cs="Times New Roman"/>
          <w:sz w:val="28"/>
          <w:szCs w:val="24"/>
        </w:rPr>
        <w:t>key</w:t>
      </w:r>
      <w:proofErr w:type="gramEnd"/>
      <w:r w:rsidRPr="00936BCB">
        <w:rPr>
          <w:rFonts w:ascii="Times New Roman" w:hAnsi="Times New Roman" w:cs="Times New Roman"/>
          <w:sz w:val="28"/>
          <w:szCs w:val="24"/>
        </w:rPr>
        <w:t xml:space="preserve"> to the successful provision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Whether or not services are ordered by the court, it is critical that the parents and counselor have a clear understanding, preferably in writing, as services begin. </w:t>
      </w:r>
    </w:p>
    <w:p w:rsidR="001A296E" w:rsidRPr="001A296E" w:rsidRDefault="00936BCB" w:rsidP="00936BCB">
      <w:pPr>
        <w:spacing w:line="480" w:lineRule="auto"/>
        <w:ind w:firstLine="720"/>
        <w:rPr>
          <w:rFonts w:ascii="Times New Roman" w:hAnsi="Times New Roman" w:cs="Times New Roman"/>
          <w:b/>
          <w:sz w:val="28"/>
          <w:szCs w:val="24"/>
        </w:rPr>
      </w:pPr>
      <w:r w:rsidRPr="001A296E">
        <w:rPr>
          <w:rFonts w:ascii="Times New Roman" w:hAnsi="Times New Roman" w:cs="Times New Roman"/>
          <w:b/>
          <w:sz w:val="28"/>
          <w:szCs w:val="24"/>
        </w:rPr>
        <w:t>Goals</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typically orient their work to the needs of the children for reduced conflict and effective collaboration between their parents. By Ethical Issues in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151 contrast, in our experience, parents often approach it, consciously or unconsciously, as a place where the other parent will be forced to behave better. Counselors should clarify their neutrality, the role, if any, of ‘‘truth-seeking’’ (i.e., attempting to determine which parent is more at fault for difficulties), and the priority placed on the children’s well-being as compared with the parents’ feelings or needs. When relevant, the informed consent process should include an explanation of the difference between parenting plan mediation (helping parents create a parenting plan and terminating when it has been agreed on) and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In a case in the first author’s practice, for example, in their initial contacts with the counselor, parents requested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to improve their communication and reported they had agreed on a custody schedule. </w:t>
      </w:r>
      <w:r w:rsidRPr="00936BCB">
        <w:rPr>
          <w:rFonts w:ascii="Times New Roman" w:hAnsi="Times New Roman" w:cs="Times New Roman"/>
          <w:sz w:val="28"/>
          <w:szCs w:val="24"/>
        </w:rPr>
        <w:lastRenderedPageBreak/>
        <w:t xml:space="preserve">However, it emerged in the initial meeting that the parenting schedule had only been agreed to for three months and one parent even disputed that agreement. The </w:t>
      </w:r>
      <w:proofErr w:type="gramStart"/>
      <w:r w:rsidRPr="00936BCB">
        <w:rPr>
          <w:rFonts w:ascii="Times New Roman" w:hAnsi="Times New Roman" w:cs="Times New Roman"/>
          <w:sz w:val="28"/>
          <w:szCs w:val="24"/>
        </w:rPr>
        <w:t xml:space="preserve">counselor explained the difference between mediation and </w:t>
      </w:r>
      <w:proofErr w:type="spellStart"/>
      <w:r w:rsidRPr="00936BCB">
        <w:rPr>
          <w:rFonts w:ascii="Times New Roman" w:hAnsi="Times New Roman" w:cs="Times New Roman"/>
          <w:sz w:val="28"/>
          <w:szCs w:val="24"/>
        </w:rPr>
        <w:t>coparent</w:t>
      </w:r>
      <w:proofErr w:type="spellEnd"/>
      <w:proofErr w:type="gramEnd"/>
      <w:r w:rsidRPr="00936BCB">
        <w:rPr>
          <w:rFonts w:ascii="Times New Roman" w:hAnsi="Times New Roman" w:cs="Times New Roman"/>
          <w:sz w:val="28"/>
          <w:szCs w:val="24"/>
        </w:rPr>
        <w:t xml:space="preserve"> counseling and suggested that mediation would be more appropriate. (In our experience,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more effective once a basic parenting plan is in place.) </w:t>
      </w:r>
    </w:p>
    <w:p w:rsidR="001A296E" w:rsidRPr="001A296E" w:rsidRDefault="00936BCB" w:rsidP="00936BCB">
      <w:pPr>
        <w:spacing w:line="480" w:lineRule="auto"/>
        <w:ind w:firstLine="720"/>
        <w:rPr>
          <w:rFonts w:ascii="Times New Roman" w:hAnsi="Times New Roman" w:cs="Times New Roman"/>
          <w:b/>
          <w:sz w:val="28"/>
          <w:szCs w:val="24"/>
        </w:rPr>
      </w:pPr>
      <w:r w:rsidRPr="001A296E">
        <w:rPr>
          <w:rFonts w:ascii="Times New Roman" w:hAnsi="Times New Roman" w:cs="Times New Roman"/>
          <w:b/>
          <w:sz w:val="28"/>
          <w:szCs w:val="24"/>
        </w:rPr>
        <w:t>Procedures</w:t>
      </w:r>
    </w:p>
    <w:p w:rsidR="001A296E"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The topic of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procedures includes such general questions as: How often will meetings take place? What will happen in the meetings? Will the focus be on improving the parents’ relationship or developing structured modes of interaction (e.g., email rules) to help them disengage? Will meetings have agendas and, if so, how will they be created? Will the counselor provide parents with notes from the meetings? Will the counselor review or help edit emails the parents send each other? Will the counselor meet separately with the parents or have other separate communication? The likely duration of counseling should also be clarified. For example, in a case of the second author’s, the parents arrived with a court order for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which the reluctant parent interpreted as one session. Thus, it should be clarified to parents and judges that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requires multiple sessions and often takes place over an extended period of time. In addition, the limits of the counselor’s role, such as the fact that he or she cannot force compliance with agreements and </w:t>
      </w:r>
      <w:r w:rsidRPr="00936BCB">
        <w:rPr>
          <w:rFonts w:ascii="Times New Roman" w:hAnsi="Times New Roman" w:cs="Times New Roman"/>
          <w:sz w:val="28"/>
          <w:szCs w:val="24"/>
        </w:rPr>
        <w:lastRenderedPageBreak/>
        <w:t xml:space="preserve">does not make recommendations to the court, should be clarified with parents from the beginning, as parents may have unrealistic fantasies about the extent of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counselor’s power or influence. </w:t>
      </w:r>
    </w:p>
    <w:p w:rsidR="001A296E" w:rsidRPr="001A296E" w:rsidRDefault="00936BCB" w:rsidP="00936BCB">
      <w:pPr>
        <w:spacing w:line="480" w:lineRule="auto"/>
        <w:ind w:firstLine="720"/>
        <w:rPr>
          <w:rFonts w:ascii="Times New Roman" w:hAnsi="Times New Roman" w:cs="Times New Roman"/>
          <w:b/>
          <w:sz w:val="28"/>
          <w:szCs w:val="24"/>
        </w:rPr>
      </w:pPr>
      <w:r w:rsidRPr="001A296E">
        <w:rPr>
          <w:rFonts w:ascii="Times New Roman" w:hAnsi="Times New Roman" w:cs="Times New Roman"/>
          <w:b/>
          <w:sz w:val="28"/>
          <w:szCs w:val="24"/>
        </w:rPr>
        <w:t xml:space="preserve">Fees </w:t>
      </w:r>
    </w:p>
    <w:p w:rsidR="00842F55"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We recommend a written fee agreement with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clients addressing the following issues: (a) Rate per session or per hour; (b) How 152 B. </w:t>
      </w:r>
      <w:proofErr w:type="spellStart"/>
      <w:r w:rsidRPr="00936BCB">
        <w:rPr>
          <w:rFonts w:ascii="Times New Roman" w:hAnsi="Times New Roman" w:cs="Times New Roman"/>
          <w:sz w:val="28"/>
          <w:szCs w:val="24"/>
        </w:rPr>
        <w:t>Fridhandler</w:t>
      </w:r>
      <w:proofErr w:type="spellEnd"/>
      <w:r w:rsidRPr="00936BCB">
        <w:rPr>
          <w:rFonts w:ascii="Times New Roman" w:hAnsi="Times New Roman" w:cs="Times New Roman"/>
          <w:sz w:val="28"/>
          <w:szCs w:val="24"/>
        </w:rPr>
        <w:t xml:space="preserve"> and M. </w:t>
      </w:r>
      <w:proofErr w:type="spellStart"/>
      <w:r w:rsidRPr="00936BCB">
        <w:rPr>
          <w:rFonts w:ascii="Times New Roman" w:hAnsi="Times New Roman" w:cs="Times New Roman"/>
          <w:sz w:val="28"/>
          <w:szCs w:val="24"/>
        </w:rPr>
        <w:t>Lehmer</w:t>
      </w:r>
      <w:proofErr w:type="spellEnd"/>
      <w:r w:rsidRPr="00936BCB">
        <w:rPr>
          <w:rFonts w:ascii="Times New Roman" w:hAnsi="Times New Roman" w:cs="Times New Roman"/>
          <w:sz w:val="28"/>
          <w:szCs w:val="24"/>
        </w:rPr>
        <w:t xml:space="preserve"> fees will be apportioned between the parents or stating that the parents are responsible for determining this; (c) Whether the counselor’s time for phone calls, emails, and other activities outside of face-to-face sessions will be billed; (d) How far in advance an appointment must be cancelled in order not to be billed; and (e) If the counselor meets individually with parents, whether fees for these meetings will be apportioned in the same way as other time or paid separately by the parent with whom the counselor is meeting. It is suggested that fee agreements be specific regarding email and other forms of electronic communication, as there is often an assumption that such time will not be billed by the therapist. For example, one parent with whom the second author worked understood that session time would be billed but sent the counselor numerous lengthy emails between sessions, assuming that the counselor would not bill for the time spent reading them, although the fee agreement specified how email time would be reimbursed.</w:t>
      </w:r>
    </w:p>
    <w:p w:rsidR="00842F55"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lastRenderedPageBreak/>
        <w:t xml:space="preserve"> Confidentiality</w:t>
      </w:r>
    </w:p>
    <w:p w:rsidR="00842F55"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Informed consent should cover the limits of confidentiality, including abuse reporting and protection from serious physical harm (i.e., </w:t>
      </w:r>
      <w:proofErr w:type="spellStart"/>
      <w:r w:rsidRPr="00936BCB">
        <w:rPr>
          <w:rFonts w:ascii="Times New Roman" w:hAnsi="Times New Roman" w:cs="Times New Roman"/>
          <w:sz w:val="28"/>
          <w:szCs w:val="24"/>
        </w:rPr>
        <w:t>Tarasoff</w:t>
      </w:r>
      <w:proofErr w:type="spellEnd"/>
      <w:r w:rsidRPr="00936BCB">
        <w:rPr>
          <w:rFonts w:ascii="Times New Roman" w:hAnsi="Times New Roman" w:cs="Times New Roman"/>
          <w:sz w:val="28"/>
          <w:szCs w:val="24"/>
        </w:rPr>
        <w:t xml:space="preserve">), whether the counselor would disclose any information if only one parent gives consent, and whether the counselor will treat information from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as falling under psychotherapy privilege. In addition, if the parents are asked to agree that no information from the counseling will ever be submitted to a court or otherwise used in adversarial legal proceedings, this must be included in informed consent. Defining the issue of what information will be shared and with </w:t>
      </w:r>
      <w:proofErr w:type="gramStart"/>
      <w:r w:rsidRPr="00936BCB">
        <w:rPr>
          <w:rFonts w:ascii="Times New Roman" w:hAnsi="Times New Roman" w:cs="Times New Roman"/>
          <w:sz w:val="28"/>
          <w:szCs w:val="24"/>
        </w:rPr>
        <w:t>whom</w:t>
      </w:r>
      <w:proofErr w:type="gramEnd"/>
      <w:r w:rsidRPr="00936BCB">
        <w:rPr>
          <w:rFonts w:ascii="Times New Roman" w:hAnsi="Times New Roman" w:cs="Times New Roman"/>
          <w:sz w:val="28"/>
          <w:szCs w:val="24"/>
        </w:rPr>
        <w:t xml:space="preserve"> in the informed consent document at the beginning of treatment can help prevent difficulties later in the process (</w:t>
      </w:r>
      <w:proofErr w:type="spellStart"/>
      <w:r w:rsidRPr="00936BCB">
        <w:rPr>
          <w:rFonts w:ascii="Times New Roman" w:hAnsi="Times New Roman" w:cs="Times New Roman"/>
          <w:sz w:val="28"/>
          <w:szCs w:val="24"/>
        </w:rPr>
        <w:t>Lehmer</w:t>
      </w:r>
      <w:proofErr w:type="spellEnd"/>
      <w:r w:rsidRPr="00936BCB">
        <w:rPr>
          <w:rFonts w:ascii="Times New Roman" w:hAnsi="Times New Roman" w:cs="Times New Roman"/>
          <w:sz w:val="28"/>
          <w:szCs w:val="24"/>
        </w:rPr>
        <w:t xml:space="preserve">, 1986). </w:t>
      </w:r>
    </w:p>
    <w:p w:rsidR="00842F55" w:rsidRDefault="00936BCB" w:rsidP="00FF3CF2">
      <w:pPr>
        <w:spacing w:line="480" w:lineRule="auto"/>
        <w:ind w:firstLine="720"/>
        <w:jc w:val="center"/>
        <w:rPr>
          <w:rFonts w:ascii="Times New Roman" w:hAnsi="Times New Roman" w:cs="Times New Roman"/>
          <w:sz w:val="28"/>
          <w:szCs w:val="24"/>
        </w:rPr>
      </w:pPr>
      <w:r w:rsidRPr="00936BCB">
        <w:rPr>
          <w:rFonts w:ascii="Times New Roman" w:hAnsi="Times New Roman" w:cs="Times New Roman"/>
          <w:sz w:val="28"/>
          <w:szCs w:val="24"/>
        </w:rPr>
        <w:t xml:space="preserve">Counselor Contact </w:t>
      </w:r>
      <w:proofErr w:type="gramStart"/>
      <w:r w:rsidRPr="00936BCB">
        <w:rPr>
          <w:rFonts w:ascii="Times New Roman" w:hAnsi="Times New Roman" w:cs="Times New Roman"/>
          <w:sz w:val="28"/>
          <w:szCs w:val="24"/>
        </w:rPr>
        <w:t>With</w:t>
      </w:r>
      <w:proofErr w:type="gramEnd"/>
      <w:r w:rsidRPr="00936BCB">
        <w:rPr>
          <w:rFonts w:ascii="Times New Roman" w:hAnsi="Times New Roman" w:cs="Times New Roman"/>
          <w:sz w:val="28"/>
          <w:szCs w:val="24"/>
        </w:rPr>
        <w:t xml:space="preserve"> the Children</w:t>
      </w:r>
    </w:p>
    <w:p w:rsidR="00842F55"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This includes the question of whether the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counselor will interview the children, how that will be decided (e.g., by the counselor, one parent, or both parents), what the purpose would be, how frequently such meetings might take place, whether one or both parents would be present and, if not, whether information from the contacts would be shared with the parents. For example, in a case where the second author asked to meet with the children regarding a rigorous extracurricular activity schedule that seemed to reflect one parent’s misreading the children’s needs, that parent’s attorney forbade any contact between the counselor </w:t>
      </w:r>
      <w:r w:rsidRPr="00936BCB">
        <w:rPr>
          <w:rFonts w:ascii="Times New Roman" w:hAnsi="Times New Roman" w:cs="Times New Roman"/>
          <w:sz w:val="28"/>
          <w:szCs w:val="24"/>
        </w:rPr>
        <w:lastRenderedPageBreak/>
        <w:t xml:space="preserve">and the children, claiming that counselor-child interviews never took place. A section in the informed consent document spelling out the purpose and anticipated extent of potential contact with the children, which parents are encouraged to review with their attorneys prior to starting counseling, may prevent such problems. </w:t>
      </w:r>
    </w:p>
    <w:p w:rsidR="00842F55" w:rsidRDefault="00936BCB" w:rsidP="00FF3CF2">
      <w:pPr>
        <w:spacing w:line="480" w:lineRule="auto"/>
        <w:ind w:firstLine="720"/>
        <w:jc w:val="center"/>
        <w:rPr>
          <w:rFonts w:ascii="Times New Roman" w:hAnsi="Times New Roman" w:cs="Times New Roman"/>
          <w:sz w:val="28"/>
          <w:szCs w:val="24"/>
        </w:rPr>
      </w:pPr>
      <w:bookmarkStart w:id="0" w:name="_GoBack"/>
      <w:r w:rsidRPr="00936BCB">
        <w:rPr>
          <w:rFonts w:ascii="Times New Roman" w:hAnsi="Times New Roman" w:cs="Times New Roman"/>
          <w:sz w:val="28"/>
          <w:szCs w:val="24"/>
        </w:rPr>
        <w:t xml:space="preserve">Information </w:t>
      </w:r>
      <w:proofErr w:type="gramStart"/>
      <w:r w:rsidRPr="00936BCB">
        <w:rPr>
          <w:rFonts w:ascii="Times New Roman" w:hAnsi="Times New Roman" w:cs="Times New Roman"/>
          <w:sz w:val="28"/>
          <w:szCs w:val="24"/>
        </w:rPr>
        <w:t>From</w:t>
      </w:r>
      <w:proofErr w:type="gramEnd"/>
      <w:r w:rsidRPr="00936BCB">
        <w:rPr>
          <w:rFonts w:ascii="Times New Roman" w:hAnsi="Times New Roman" w:cs="Times New Roman"/>
          <w:sz w:val="28"/>
          <w:szCs w:val="24"/>
        </w:rPr>
        <w:t xml:space="preserve"> Separate Contacts With Parents</w:t>
      </w:r>
    </w:p>
    <w:bookmarkEnd w:id="0"/>
    <w:p w:rsidR="00842F55"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 If there are to be separate contacts with the parents, informed consent should include the purpose of such contacts and whether information from them would be kept confidential from the other parent or shared according to the counselor’s best judgment as to what would be most helpful. When there is distrust between the parents or they are in litigation, a clear understanding that any individual contact with parents will be handled with complete transparency may be the wisest course of action. </w:t>
      </w:r>
    </w:p>
    <w:p w:rsidR="00842F55" w:rsidRDefault="00936BCB" w:rsidP="00936BCB">
      <w:pPr>
        <w:spacing w:line="480" w:lineRule="auto"/>
        <w:ind w:firstLine="720"/>
        <w:rPr>
          <w:rFonts w:ascii="Times New Roman" w:hAnsi="Times New Roman" w:cs="Times New Roman"/>
          <w:sz w:val="28"/>
          <w:szCs w:val="24"/>
        </w:rPr>
      </w:pPr>
      <w:r w:rsidRPr="00936BCB">
        <w:rPr>
          <w:rFonts w:ascii="Times New Roman" w:hAnsi="Times New Roman" w:cs="Times New Roman"/>
          <w:sz w:val="28"/>
          <w:szCs w:val="24"/>
        </w:rPr>
        <w:t xml:space="preserve">Insurance Billing </w:t>
      </w:r>
    </w:p>
    <w:p w:rsidR="00842F55" w:rsidRDefault="00936BCB" w:rsidP="00842F55">
      <w:pPr>
        <w:spacing w:line="480" w:lineRule="auto"/>
        <w:ind w:firstLine="720"/>
        <w:jc w:val="center"/>
        <w:rPr>
          <w:rFonts w:ascii="Times New Roman" w:hAnsi="Times New Roman" w:cs="Times New Roman"/>
          <w:sz w:val="28"/>
          <w:szCs w:val="24"/>
        </w:rPr>
      </w:pPr>
      <w:r w:rsidRPr="00936BCB">
        <w:rPr>
          <w:rFonts w:ascii="Times New Roman" w:hAnsi="Times New Roman" w:cs="Times New Roman"/>
          <w:sz w:val="28"/>
          <w:szCs w:val="24"/>
        </w:rPr>
        <w:t xml:space="preserve">Because parents may assume that they will be able to use their insurance for </w:t>
      </w: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they need to know the obstacles and uncertainties previously discussed and whether, in their particular situation, there is even a possibility of successfully billing insurance. For example, if none of the children is in treatment, parents should be told that the only appropriate DSM diagnosis is not considered a </w:t>
      </w:r>
      <w:r w:rsidRPr="00936BCB">
        <w:rPr>
          <w:rFonts w:ascii="Times New Roman" w:hAnsi="Times New Roman" w:cs="Times New Roman"/>
          <w:sz w:val="28"/>
          <w:szCs w:val="24"/>
        </w:rPr>
        <w:lastRenderedPageBreak/>
        <w:t>disorder and therefore many insurance companies will not pay for its treatment. CONCLUSION</w:t>
      </w:r>
    </w:p>
    <w:p w:rsidR="00FF3CF2" w:rsidRDefault="00936BCB" w:rsidP="00936BCB">
      <w:pPr>
        <w:spacing w:line="480" w:lineRule="auto"/>
        <w:ind w:firstLine="720"/>
        <w:rPr>
          <w:rFonts w:ascii="Times New Roman" w:hAnsi="Times New Roman" w:cs="Times New Roman"/>
          <w:sz w:val="28"/>
          <w:szCs w:val="24"/>
        </w:rPr>
      </w:pPr>
      <w:proofErr w:type="spellStart"/>
      <w:r w:rsidRPr="00936BCB">
        <w:rPr>
          <w:rFonts w:ascii="Times New Roman" w:hAnsi="Times New Roman" w:cs="Times New Roman"/>
          <w:sz w:val="28"/>
          <w:szCs w:val="24"/>
        </w:rPr>
        <w:t>Coparent</w:t>
      </w:r>
      <w:proofErr w:type="spellEnd"/>
      <w:r w:rsidRPr="00936BCB">
        <w:rPr>
          <w:rFonts w:ascii="Times New Roman" w:hAnsi="Times New Roman" w:cs="Times New Roman"/>
          <w:sz w:val="28"/>
          <w:szCs w:val="24"/>
        </w:rPr>
        <w:t xml:space="preserve"> counseling is a developing modality. Many of the issues we have discussed, such as whether it is a form of psychotherapy and whether it needs to be confidential in order to be effective, have yet to be resolved. We have not taken positions on these issues in the present paper. Ethical conclusions set boundaries on what is permitted and have the potential to influence licensing boards. It is important, therefore, that they be limited to what can be clearly grounded in established ethical principles, so as to leave all appropriate latitude for clinical judgment, experience, and creativity.</w:t>
      </w:r>
    </w:p>
    <w:p w:rsidR="00FF3CF2" w:rsidRDefault="00FF3CF2" w:rsidP="00936BCB">
      <w:pPr>
        <w:spacing w:line="480" w:lineRule="auto"/>
        <w:ind w:firstLine="720"/>
        <w:rPr>
          <w:rFonts w:ascii="Times New Roman" w:hAnsi="Times New Roman" w:cs="Times New Roman"/>
          <w:sz w:val="28"/>
          <w:szCs w:val="24"/>
        </w:rPr>
      </w:pPr>
      <w:proofErr w:type="spellStart"/>
      <w:proofErr w:type="gramStart"/>
      <w:r w:rsidRPr="00FF3CF2">
        <w:rPr>
          <w:rFonts w:ascii="Times New Roman" w:hAnsi="Times New Roman" w:cs="Times New Roman"/>
          <w:sz w:val="28"/>
          <w:szCs w:val="24"/>
        </w:rPr>
        <w:t>Fridhandler</w:t>
      </w:r>
      <w:proofErr w:type="spellEnd"/>
      <w:r w:rsidRPr="00FF3CF2">
        <w:rPr>
          <w:rFonts w:ascii="Times New Roman" w:hAnsi="Times New Roman" w:cs="Times New Roman"/>
          <w:sz w:val="28"/>
          <w:szCs w:val="24"/>
        </w:rPr>
        <w:t xml:space="preserve">, B., &amp; </w:t>
      </w:r>
      <w:proofErr w:type="spellStart"/>
      <w:r w:rsidRPr="00FF3CF2">
        <w:rPr>
          <w:rFonts w:ascii="Times New Roman" w:hAnsi="Times New Roman" w:cs="Times New Roman"/>
          <w:sz w:val="28"/>
          <w:szCs w:val="24"/>
        </w:rPr>
        <w:t>Lehmer</w:t>
      </w:r>
      <w:proofErr w:type="spellEnd"/>
      <w:r w:rsidRPr="00FF3CF2">
        <w:rPr>
          <w:rFonts w:ascii="Times New Roman" w:hAnsi="Times New Roman" w:cs="Times New Roman"/>
          <w:sz w:val="28"/>
          <w:szCs w:val="24"/>
        </w:rPr>
        <w:t>, M. (2014).</w:t>
      </w:r>
      <w:proofErr w:type="gramEnd"/>
      <w:r w:rsidRPr="00FF3CF2">
        <w:rPr>
          <w:rFonts w:ascii="Times New Roman" w:hAnsi="Times New Roman" w:cs="Times New Roman"/>
          <w:sz w:val="28"/>
          <w:szCs w:val="24"/>
        </w:rPr>
        <w:t xml:space="preserve"> </w:t>
      </w:r>
      <w:proofErr w:type="gramStart"/>
      <w:r w:rsidRPr="00FF3CF2">
        <w:rPr>
          <w:rFonts w:ascii="Times New Roman" w:hAnsi="Times New Roman" w:cs="Times New Roman"/>
          <w:sz w:val="28"/>
          <w:szCs w:val="24"/>
        </w:rPr>
        <w:t xml:space="preserve">Ethical issues in </w:t>
      </w:r>
      <w:proofErr w:type="spellStart"/>
      <w:r w:rsidRPr="00FF3CF2">
        <w:rPr>
          <w:rFonts w:ascii="Times New Roman" w:hAnsi="Times New Roman" w:cs="Times New Roman"/>
          <w:sz w:val="28"/>
          <w:szCs w:val="24"/>
        </w:rPr>
        <w:t>coparent</w:t>
      </w:r>
      <w:proofErr w:type="spellEnd"/>
      <w:r w:rsidRPr="00FF3CF2">
        <w:rPr>
          <w:rFonts w:ascii="Times New Roman" w:hAnsi="Times New Roman" w:cs="Times New Roman"/>
          <w:sz w:val="28"/>
          <w:szCs w:val="24"/>
        </w:rPr>
        <w:t xml:space="preserve"> counseling.</w:t>
      </w:r>
      <w:proofErr w:type="gramEnd"/>
      <w:r w:rsidRPr="00FF3CF2">
        <w:rPr>
          <w:rFonts w:ascii="Times New Roman" w:hAnsi="Times New Roman" w:cs="Times New Roman"/>
          <w:sz w:val="28"/>
          <w:szCs w:val="24"/>
        </w:rPr>
        <w:t xml:space="preserve"> Journal of Child Custody, 11(2), 139-158. doi:10.1080/15379418.2014.921590</w:t>
      </w:r>
    </w:p>
    <w:p w:rsidR="00FF3CF2" w:rsidRDefault="00FF3CF2" w:rsidP="00936BCB">
      <w:pPr>
        <w:spacing w:line="480" w:lineRule="auto"/>
        <w:ind w:firstLine="720"/>
        <w:rPr>
          <w:rFonts w:ascii="Times New Roman" w:hAnsi="Times New Roman" w:cs="Times New Roman"/>
          <w:sz w:val="28"/>
          <w:szCs w:val="24"/>
        </w:rPr>
      </w:pPr>
    </w:p>
    <w:p w:rsidR="00CE16ED" w:rsidRPr="002408F6" w:rsidRDefault="00CE16ED" w:rsidP="00936BCB">
      <w:pPr>
        <w:spacing w:line="480" w:lineRule="auto"/>
        <w:ind w:firstLine="720"/>
        <w:rPr>
          <w:rFonts w:ascii="Times New Roman" w:hAnsi="Times New Roman" w:cs="Times New Roman"/>
          <w:sz w:val="28"/>
          <w:szCs w:val="24"/>
        </w:rPr>
      </w:pPr>
    </w:p>
    <w:sectPr w:rsidR="00CE16ED" w:rsidRPr="002408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22196"/>
    <w:multiLevelType w:val="multilevel"/>
    <w:tmpl w:val="3C6A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7D10A9"/>
    <w:multiLevelType w:val="multilevel"/>
    <w:tmpl w:val="CA54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AB5B1D"/>
    <w:multiLevelType w:val="hybridMultilevel"/>
    <w:tmpl w:val="49E89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577C6D"/>
    <w:multiLevelType w:val="multilevel"/>
    <w:tmpl w:val="79A63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695998"/>
    <w:multiLevelType w:val="multilevel"/>
    <w:tmpl w:val="EFEE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043960"/>
    <w:multiLevelType w:val="multilevel"/>
    <w:tmpl w:val="A3F0C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7C8"/>
    <w:rsid w:val="001A296E"/>
    <w:rsid w:val="002408F6"/>
    <w:rsid w:val="0040441F"/>
    <w:rsid w:val="005E27C8"/>
    <w:rsid w:val="00842F55"/>
    <w:rsid w:val="00936BCB"/>
    <w:rsid w:val="00A76EC5"/>
    <w:rsid w:val="00AD41D9"/>
    <w:rsid w:val="00B14316"/>
    <w:rsid w:val="00CE16ED"/>
    <w:rsid w:val="00FF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ind w:left="0" w:firstLine="0"/>
    </w:pPr>
  </w:style>
  <w:style w:type="paragraph" w:styleId="Heading1">
    <w:name w:val="heading 1"/>
    <w:basedOn w:val="Normal"/>
    <w:link w:val="Heading1Char"/>
    <w:uiPriority w:val="9"/>
    <w:qFormat/>
    <w:rsid w:val="005E27C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27C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CE16E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7C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27C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E16ED"/>
    <w:rPr>
      <w:rFonts w:asciiTheme="majorHAnsi" w:eastAsiaTheme="majorEastAsia" w:hAnsiTheme="majorHAnsi" w:cstheme="majorBidi"/>
      <w:b/>
      <w:bCs/>
      <w:color w:val="4F81BD" w:themeColor="accent1"/>
    </w:rPr>
  </w:style>
  <w:style w:type="character" w:customStyle="1" w:styleId="titleauthoretc">
    <w:name w:val="titleauthoretc"/>
    <w:basedOn w:val="DefaultParagraphFont"/>
    <w:rsid w:val="005E27C8"/>
  </w:style>
  <w:style w:type="character" w:styleId="Hyperlink">
    <w:name w:val="Hyperlink"/>
    <w:basedOn w:val="DefaultParagraphFont"/>
    <w:uiPriority w:val="99"/>
    <w:semiHidden/>
    <w:unhideWhenUsed/>
    <w:rsid w:val="005E27C8"/>
    <w:rPr>
      <w:color w:val="0000FF"/>
      <w:u w:val="single"/>
    </w:rPr>
  </w:style>
  <w:style w:type="character" w:styleId="Strong">
    <w:name w:val="Strong"/>
    <w:basedOn w:val="DefaultParagraphFont"/>
    <w:uiPriority w:val="22"/>
    <w:qFormat/>
    <w:rsid w:val="005E27C8"/>
    <w:rPr>
      <w:b/>
      <w:bCs/>
    </w:rPr>
  </w:style>
  <w:style w:type="character" w:customStyle="1" w:styleId="badge">
    <w:name w:val="badge"/>
    <w:basedOn w:val="DefaultParagraphFont"/>
    <w:rsid w:val="005E27C8"/>
  </w:style>
  <w:style w:type="character" w:customStyle="1" w:styleId="link">
    <w:name w:val="link"/>
    <w:basedOn w:val="DefaultParagraphFont"/>
    <w:rsid w:val="005E27C8"/>
  </w:style>
  <w:style w:type="character" w:customStyle="1" w:styleId="hiddentext">
    <w:name w:val="hiddentext"/>
    <w:basedOn w:val="DefaultParagraphFont"/>
    <w:rsid w:val="005E27C8"/>
  </w:style>
  <w:style w:type="paragraph" w:styleId="NormalWeb">
    <w:name w:val="Normal (Web)"/>
    <w:basedOn w:val="Normal"/>
    <w:uiPriority w:val="99"/>
    <w:semiHidden/>
    <w:unhideWhenUsed/>
    <w:rsid w:val="005E27C8"/>
    <w:pPr>
      <w:spacing w:before="100" w:beforeAutospacing="1" w:after="100" w:afterAutospacing="1"/>
    </w:pPr>
    <w:rPr>
      <w:rFonts w:ascii="Times New Roman" w:eastAsia="Times New Roman" w:hAnsi="Times New Roman" w:cs="Times New Roman"/>
      <w:sz w:val="24"/>
      <w:szCs w:val="24"/>
    </w:rPr>
  </w:style>
  <w:style w:type="character" w:customStyle="1" w:styleId="rsbtnleft">
    <w:name w:val="rsbtn_left"/>
    <w:basedOn w:val="DefaultParagraphFont"/>
    <w:rsid w:val="00CE16ED"/>
  </w:style>
  <w:style w:type="character" w:customStyle="1" w:styleId="rsbtntext">
    <w:name w:val="rsbtn_text"/>
    <w:basedOn w:val="DefaultParagraphFont"/>
    <w:rsid w:val="00CE16ED"/>
  </w:style>
  <w:style w:type="character" w:customStyle="1" w:styleId="rsbtnexp">
    <w:name w:val="rsbtn_exp"/>
    <w:basedOn w:val="DefaultParagraphFont"/>
    <w:rsid w:val="00CE16ED"/>
  </w:style>
  <w:style w:type="character" w:customStyle="1" w:styleId="rsbtnplayer">
    <w:name w:val="rsbtn_player"/>
    <w:basedOn w:val="DefaultParagraphFont"/>
    <w:rsid w:val="00CE16ED"/>
  </w:style>
  <w:style w:type="character" w:customStyle="1" w:styleId="rsbtnvoiceselector">
    <w:name w:val="rsbtn_voiceselector"/>
    <w:basedOn w:val="DefaultParagraphFont"/>
    <w:rsid w:val="00CE16ED"/>
  </w:style>
  <w:style w:type="paragraph" w:customStyle="1" w:styleId="body-paragraph">
    <w:name w:val="body-paragraph"/>
    <w:basedOn w:val="Normal"/>
    <w:rsid w:val="00CE16ED"/>
    <w:pPr>
      <w:spacing w:before="100" w:beforeAutospacing="1" w:after="100" w:afterAutospacing="1"/>
    </w:pPr>
    <w:rPr>
      <w:rFonts w:ascii="Times New Roman" w:eastAsia="Times New Roman" w:hAnsi="Times New Roman" w:cs="Times New Roman"/>
      <w:sz w:val="24"/>
      <w:szCs w:val="24"/>
    </w:rPr>
  </w:style>
  <w:style w:type="character" w:customStyle="1" w:styleId="medium-bold">
    <w:name w:val="medium-bold"/>
    <w:basedOn w:val="DefaultParagraphFont"/>
    <w:rsid w:val="00CE16ED"/>
  </w:style>
  <w:style w:type="character" w:customStyle="1" w:styleId="updated-short-citation">
    <w:name w:val="updated-short-citation"/>
    <w:basedOn w:val="DefaultParagraphFont"/>
    <w:rsid w:val="00B14316"/>
  </w:style>
  <w:style w:type="paragraph" w:styleId="ListParagraph">
    <w:name w:val="List Paragraph"/>
    <w:basedOn w:val="Normal"/>
    <w:uiPriority w:val="34"/>
    <w:qFormat/>
    <w:rsid w:val="00FF3C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ind w:left="0" w:firstLine="0"/>
    </w:pPr>
  </w:style>
  <w:style w:type="paragraph" w:styleId="Heading1">
    <w:name w:val="heading 1"/>
    <w:basedOn w:val="Normal"/>
    <w:link w:val="Heading1Char"/>
    <w:uiPriority w:val="9"/>
    <w:qFormat/>
    <w:rsid w:val="005E27C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27C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CE16E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7C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27C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E16ED"/>
    <w:rPr>
      <w:rFonts w:asciiTheme="majorHAnsi" w:eastAsiaTheme="majorEastAsia" w:hAnsiTheme="majorHAnsi" w:cstheme="majorBidi"/>
      <w:b/>
      <w:bCs/>
      <w:color w:val="4F81BD" w:themeColor="accent1"/>
    </w:rPr>
  </w:style>
  <w:style w:type="character" w:customStyle="1" w:styleId="titleauthoretc">
    <w:name w:val="titleauthoretc"/>
    <w:basedOn w:val="DefaultParagraphFont"/>
    <w:rsid w:val="005E27C8"/>
  </w:style>
  <w:style w:type="character" w:styleId="Hyperlink">
    <w:name w:val="Hyperlink"/>
    <w:basedOn w:val="DefaultParagraphFont"/>
    <w:uiPriority w:val="99"/>
    <w:semiHidden/>
    <w:unhideWhenUsed/>
    <w:rsid w:val="005E27C8"/>
    <w:rPr>
      <w:color w:val="0000FF"/>
      <w:u w:val="single"/>
    </w:rPr>
  </w:style>
  <w:style w:type="character" w:styleId="Strong">
    <w:name w:val="Strong"/>
    <w:basedOn w:val="DefaultParagraphFont"/>
    <w:uiPriority w:val="22"/>
    <w:qFormat/>
    <w:rsid w:val="005E27C8"/>
    <w:rPr>
      <w:b/>
      <w:bCs/>
    </w:rPr>
  </w:style>
  <w:style w:type="character" w:customStyle="1" w:styleId="badge">
    <w:name w:val="badge"/>
    <w:basedOn w:val="DefaultParagraphFont"/>
    <w:rsid w:val="005E27C8"/>
  </w:style>
  <w:style w:type="character" w:customStyle="1" w:styleId="link">
    <w:name w:val="link"/>
    <w:basedOn w:val="DefaultParagraphFont"/>
    <w:rsid w:val="005E27C8"/>
  </w:style>
  <w:style w:type="character" w:customStyle="1" w:styleId="hiddentext">
    <w:name w:val="hiddentext"/>
    <w:basedOn w:val="DefaultParagraphFont"/>
    <w:rsid w:val="005E27C8"/>
  </w:style>
  <w:style w:type="paragraph" w:styleId="NormalWeb">
    <w:name w:val="Normal (Web)"/>
    <w:basedOn w:val="Normal"/>
    <w:uiPriority w:val="99"/>
    <w:semiHidden/>
    <w:unhideWhenUsed/>
    <w:rsid w:val="005E27C8"/>
    <w:pPr>
      <w:spacing w:before="100" w:beforeAutospacing="1" w:after="100" w:afterAutospacing="1"/>
    </w:pPr>
    <w:rPr>
      <w:rFonts w:ascii="Times New Roman" w:eastAsia="Times New Roman" w:hAnsi="Times New Roman" w:cs="Times New Roman"/>
      <w:sz w:val="24"/>
      <w:szCs w:val="24"/>
    </w:rPr>
  </w:style>
  <w:style w:type="character" w:customStyle="1" w:styleId="rsbtnleft">
    <w:name w:val="rsbtn_left"/>
    <w:basedOn w:val="DefaultParagraphFont"/>
    <w:rsid w:val="00CE16ED"/>
  </w:style>
  <w:style w:type="character" w:customStyle="1" w:styleId="rsbtntext">
    <w:name w:val="rsbtn_text"/>
    <w:basedOn w:val="DefaultParagraphFont"/>
    <w:rsid w:val="00CE16ED"/>
  </w:style>
  <w:style w:type="character" w:customStyle="1" w:styleId="rsbtnexp">
    <w:name w:val="rsbtn_exp"/>
    <w:basedOn w:val="DefaultParagraphFont"/>
    <w:rsid w:val="00CE16ED"/>
  </w:style>
  <w:style w:type="character" w:customStyle="1" w:styleId="rsbtnplayer">
    <w:name w:val="rsbtn_player"/>
    <w:basedOn w:val="DefaultParagraphFont"/>
    <w:rsid w:val="00CE16ED"/>
  </w:style>
  <w:style w:type="character" w:customStyle="1" w:styleId="rsbtnvoiceselector">
    <w:name w:val="rsbtn_voiceselector"/>
    <w:basedOn w:val="DefaultParagraphFont"/>
    <w:rsid w:val="00CE16ED"/>
  </w:style>
  <w:style w:type="paragraph" w:customStyle="1" w:styleId="body-paragraph">
    <w:name w:val="body-paragraph"/>
    <w:basedOn w:val="Normal"/>
    <w:rsid w:val="00CE16ED"/>
    <w:pPr>
      <w:spacing w:before="100" w:beforeAutospacing="1" w:after="100" w:afterAutospacing="1"/>
    </w:pPr>
    <w:rPr>
      <w:rFonts w:ascii="Times New Roman" w:eastAsia="Times New Roman" w:hAnsi="Times New Roman" w:cs="Times New Roman"/>
      <w:sz w:val="24"/>
      <w:szCs w:val="24"/>
    </w:rPr>
  </w:style>
  <w:style w:type="character" w:customStyle="1" w:styleId="medium-bold">
    <w:name w:val="medium-bold"/>
    <w:basedOn w:val="DefaultParagraphFont"/>
    <w:rsid w:val="00CE16ED"/>
  </w:style>
  <w:style w:type="character" w:customStyle="1" w:styleId="updated-short-citation">
    <w:name w:val="updated-short-citation"/>
    <w:basedOn w:val="DefaultParagraphFont"/>
    <w:rsid w:val="00B14316"/>
  </w:style>
  <w:style w:type="paragraph" w:styleId="ListParagraph">
    <w:name w:val="List Paragraph"/>
    <w:basedOn w:val="Normal"/>
    <w:uiPriority w:val="34"/>
    <w:qFormat/>
    <w:rsid w:val="00FF3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915113">
      <w:bodyDiv w:val="1"/>
      <w:marLeft w:val="0"/>
      <w:marRight w:val="0"/>
      <w:marTop w:val="0"/>
      <w:marBottom w:val="0"/>
      <w:divBdr>
        <w:top w:val="none" w:sz="0" w:space="0" w:color="auto"/>
        <w:left w:val="none" w:sz="0" w:space="0" w:color="auto"/>
        <w:bottom w:val="none" w:sz="0" w:space="0" w:color="auto"/>
        <w:right w:val="none" w:sz="0" w:space="0" w:color="auto"/>
      </w:divBdr>
      <w:divsChild>
        <w:div w:id="1191336016">
          <w:marLeft w:val="0"/>
          <w:marRight w:val="0"/>
          <w:marTop w:val="0"/>
          <w:marBottom w:val="0"/>
          <w:divBdr>
            <w:top w:val="none" w:sz="0" w:space="0" w:color="auto"/>
            <w:left w:val="none" w:sz="0" w:space="0" w:color="auto"/>
            <w:bottom w:val="none" w:sz="0" w:space="0" w:color="auto"/>
            <w:right w:val="none" w:sz="0" w:space="0" w:color="auto"/>
          </w:divBdr>
          <w:divsChild>
            <w:div w:id="1953631541">
              <w:marLeft w:val="0"/>
              <w:marRight w:val="0"/>
              <w:marTop w:val="0"/>
              <w:marBottom w:val="0"/>
              <w:divBdr>
                <w:top w:val="none" w:sz="0" w:space="0" w:color="auto"/>
                <w:left w:val="none" w:sz="0" w:space="0" w:color="auto"/>
                <w:bottom w:val="none" w:sz="0" w:space="0" w:color="auto"/>
                <w:right w:val="none" w:sz="0" w:space="0" w:color="auto"/>
              </w:divBdr>
              <w:divsChild>
                <w:div w:id="1557083186">
                  <w:marLeft w:val="-225"/>
                  <w:marRight w:val="-225"/>
                  <w:marTop w:val="0"/>
                  <w:marBottom w:val="0"/>
                  <w:divBdr>
                    <w:top w:val="none" w:sz="0" w:space="0" w:color="auto"/>
                    <w:left w:val="none" w:sz="0" w:space="0" w:color="auto"/>
                    <w:bottom w:val="none" w:sz="0" w:space="0" w:color="auto"/>
                    <w:right w:val="none" w:sz="0" w:space="0" w:color="auto"/>
                  </w:divBdr>
                  <w:divsChild>
                    <w:div w:id="261911474">
                      <w:marLeft w:val="0"/>
                      <w:marRight w:val="0"/>
                      <w:marTop w:val="0"/>
                      <w:marBottom w:val="0"/>
                      <w:divBdr>
                        <w:top w:val="none" w:sz="0" w:space="0" w:color="auto"/>
                        <w:left w:val="none" w:sz="0" w:space="0" w:color="auto"/>
                        <w:bottom w:val="none" w:sz="0" w:space="0" w:color="auto"/>
                        <w:right w:val="none" w:sz="0" w:space="0" w:color="auto"/>
                      </w:divBdr>
                    </w:div>
                    <w:div w:id="42889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54329">
          <w:marLeft w:val="0"/>
          <w:marRight w:val="0"/>
          <w:marTop w:val="300"/>
          <w:marBottom w:val="0"/>
          <w:divBdr>
            <w:top w:val="none" w:sz="0" w:space="0" w:color="auto"/>
            <w:left w:val="none" w:sz="0" w:space="0" w:color="auto"/>
            <w:bottom w:val="none" w:sz="0" w:space="0" w:color="auto"/>
            <w:right w:val="none" w:sz="0" w:space="0" w:color="auto"/>
          </w:divBdr>
          <w:divsChild>
            <w:div w:id="386073148">
              <w:marLeft w:val="0"/>
              <w:marRight w:val="0"/>
              <w:marTop w:val="0"/>
              <w:marBottom w:val="0"/>
              <w:divBdr>
                <w:top w:val="none" w:sz="0" w:space="0" w:color="auto"/>
                <w:left w:val="none" w:sz="0" w:space="0" w:color="auto"/>
                <w:bottom w:val="none" w:sz="0" w:space="0" w:color="auto"/>
                <w:right w:val="none" w:sz="0" w:space="0" w:color="auto"/>
              </w:divBdr>
              <w:divsChild>
                <w:div w:id="1190877978">
                  <w:marLeft w:val="0"/>
                  <w:marRight w:val="0"/>
                  <w:marTop w:val="0"/>
                  <w:marBottom w:val="0"/>
                  <w:divBdr>
                    <w:top w:val="none" w:sz="0" w:space="0" w:color="auto"/>
                    <w:left w:val="none" w:sz="0" w:space="0" w:color="auto"/>
                    <w:bottom w:val="none" w:sz="0" w:space="0" w:color="auto"/>
                    <w:right w:val="none" w:sz="0" w:space="0" w:color="auto"/>
                  </w:divBdr>
                  <w:divsChild>
                    <w:div w:id="1880782184">
                      <w:marLeft w:val="0"/>
                      <w:marRight w:val="0"/>
                      <w:marTop w:val="0"/>
                      <w:marBottom w:val="0"/>
                      <w:divBdr>
                        <w:top w:val="none" w:sz="0" w:space="0" w:color="auto"/>
                        <w:left w:val="none" w:sz="0" w:space="0" w:color="auto"/>
                        <w:bottom w:val="none" w:sz="0" w:space="0" w:color="auto"/>
                        <w:right w:val="none" w:sz="0" w:space="0" w:color="auto"/>
                      </w:divBdr>
                      <w:divsChild>
                        <w:div w:id="351339680">
                          <w:marLeft w:val="0"/>
                          <w:marRight w:val="0"/>
                          <w:marTop w:val="0"/>
                          <w:marBottom w:val="0"/>
                          <w:divBdr>
                            <w:top w:val="none" w:sz="0" w:space="0" w:color="auto"/>
                            <w:left w:val="none" w:sz="0" w:space="0" w:color="auto"/>
                            <w:bottom w:val="none" w:sz="0" w:space="0" w:color="auto"/>
                            <w:right w:val="none" w:sz="0" w:space="0" w:color="auto"/>
                          </w:divBdr>
                          <w:divsChild>
                            <w:div w:id="662397176">
                              <w:marLeft w:val="0"/>
                              <w:marRight w:val="0"/>
                              <w:marTop w:val="0"/>
                              <w:marBottom w:val="0"/>
                              <w:divBdr>
                                <w:top w:val="none" w:sz="0" w:space="0" w:color="auto"/>
                                <w:left w:val="none" w:sz="0" w:space="0" w:color="auto"/>
                                <w:bottom w:val="none" w:sz="0" w:space="0" w:color="auto"/>
                                <w:right w:val="none" w:sz="0" w:space="0" w:color="auto"/>
                              </w:divBdr>
                              <w:divsChild>
                                <w:div w:id="1622761912">
                                  <w:marLeft w:val="0"/>
                                  <w:marRight w:val="0"/>
                                  <w:marTop w:val="0"/>
                                  <w:marBottom w:val="0"/>
                                  <w:divBdr>
                                    <w:top w:val="none" w:sz="0" w:space="0" w:color="auto"/>
                                    <w:left w:val="none" w:sz="0" w:space="0" w:color="auto"/>
                                    <w:bottom w:val="none" w:sz="0" w:space="0" w:color="auto"/>
                                    <w:right w:val="none" w:sz="0" w:space="0" w:color="auto"/>
                                  </w:divBdr>
                                  <w:divsChild>
                                    <w:div w:id="1509951987">
                                      <w:marLeft w:val="0"/>
                                      <w:marRight w:val="0"/>
                                      <w:marTop w:val="0"/>
                                      <w:marBottom w:val="0"/>
                                      <w:divBdr>
                                        <w:top w:val="none" w:sz="0" w:space="0" w:color="auto"/>
                                        <w:left w:val="none" w:sz="0" w:space="0" w:color="auto"/>
                                        <w:bottom w:val="none" w:sz="0" w:space="0" w:color="auto"/>
                                        <w:right w:val="none" w:sz="0" w:space="0" w:color="auto"/>
                                      </w:divBdr>
                                    </w:div>
                                    <w:div w:id="1032801358">
                                      <w:marLeft w:val="150"/>
                                      <w:marRight w:val="0"/>
                                      <w:marTop w:val="150"/>
                                      <w:marBottom w:val="0"/>
                                      <w:divBdr>
                                        <w:top w:val="none" w:sz="0" w:space="0" w:color="auto"/>
                                        <w:left w:val="none" w:sz="0" w:space="0" w:color="auto"/>
                                        <w:bottom w:val="none" w:sz="0" w:space="0" w:color="auto"/>
                                        <w:right w:val="none" w:sz="0" w:space="0" w:color="auto"/>
                                      </w:divBdr>
                                      <w:divsChild>
                                        <w:div w:id="81109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5850">
                                  <w:marLeft w:val="0"/>
                                  <w:marRight w:val="0"/>
                                  <w:marTop w:val="75"/>
                                  <w:marBottom w:val="0"/>
                                  <w:divBdr>
                                    <w:top w:val="none" w:sz="0" w:space="0" w:color="auto"/>
                                    <w:left w:val="none" w:sz="0" w:space="0" w:color="auto"/>
                                    <w:bottom w:val="none" w:sz="0" w:space="0" w:color="auto"/>
                                    <w:right w:val="none" w:sz="0" w:space="0" w:color="auto"/>
                                  </w:divBdr>
                                  <w:divsChild>
                                    <w:div w:id="1728533627">
                                      <w:marLeft w:val="0"/>
                                      <w:marRight w:val="0"/>
                                      <w:marTop w:val="0"/>
                                      <w:marBottom w:val="0"/>
                                      <w:divBdr>
                                        <w:top w:val="none" w:sz="0" w:space="0" w:color="auto"/>
                                        <w:left w:val="none" w:sz="0" w:space="0" w:color="auto"/>
                                        <w:bottom w:val="none" w:sz="0" w:space="0" w:color="auto"/>
                                        <w:right w:val="none" w:sz="0" w:space="0" w:color="auto"/>
                                      </w:divBdr>
                                      <w:divsChild>
                                        <w:div w:id="202856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186462">
                              <w:marLeft w:val="0"/>
                              <w:marRight w:val="0"/>
                              <w:marTop w:val="0"/>
                              <w:marBottom w:val="0"/>
                              <w:divBdr>
                                <w:top w:val="none" w:sz="0" w:space="0" w:color="auto"/>
                                <w:left w:val="none" w:sz="0" w:space="0" w:color="auto"/>
                                <w:bottom w:val="none" w:sz="0" w:space="0" w:color="auto"/>
                                <w:right w:val="none" w:sz="0" w:space="0" w:color="auto"/>
                              </w:divBdr>
                              <w:divsChild>
                                <w:div w:id="862281386">
                                  <w:marLeft w:val="0"/>
                                  <w:marRight w:val="0"/>
                                  <w:marTop w:val="0"/>
                                  <w:marBottom w:val="0"/>
                                  <w:divBdr>
                                    <w:top w:val="none" w:sz="0" w:space="0" w:color="auto"/>
                                    <w:left w:val="none" w:sz="0" w:space="0" w:color="auto"/>
                                    <w:bottom w:val="none" w:sz="0" w:space="0" w:color="auto"/>
                                    <w:right w:val="none" w:sz="0" w:space="0" w:color="auto"/>
                                  </w:divBdr>
                                </w:div>
                                <w:div w:id="398863728">
                                  <w:marLeft w:val="150"/>
                                  <w:marRight w:val="0"/>
                                  <w:marTop w:val="150"/>
                                  <w:marBottom w:val="0"/>
                                  <w:divBdr>
                                    <w:top w:val="none" w:sz="0" w:space="0" w:color="auto"/>
                                    <w:left w:val="none" w:sz="0" w:space="0" w:color="auto"/>
                                    <w:bottom w:val="none" w:sz="0" w:space="0" w:color="auto"/>
                                    <w:right w:val="none" w:sz="0" w:space="0" w:color="auto"/>
                                  </w:divBdr>
                                  <w:divsChild>
                                    <w:div w:id="90460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19928">
                              <w:marLeft w:val="0"/>
                              <w:marRight w:val="0"/>
                              <w:marTop w:val="0"/>
                              <w:marBottom w:val="0"/>
                              <w:divBdr>
                                <w:top w:val="none" w:sz="0" w:space="0" w:color="auto"/>
                                <w:left w:val="none" w:sz="0" w:space="0" w:color="auto"/>
                                <w:bottom w:val="none" w:sz="0" w:space="0" w:color="auto"/>
                                <w:right w:val="none" w:sz="0" w:space="0" w:color="auto"/>
                              </w:divBdr>
                              <w:divsChild>
                                <w:div w:id="1796831364">
                                  <w:marLeft w:val="0"/>
                                  <w:marRight w:val="0"/>
                                  <w:marTop w:val="75"/>
                                  <w:marBottom w:val="0"/>
                                  <w:divBdr>
                                    <w:top w:val="none" w:sz="0" w:space="0" w:color="auto"/>
                                    <w:left w:val="none" w:sz="0" w:space="0" w:color="auto"/>
                                    <w:bottom w:val="none" w:sz="0" w:space="0" w:color="auto"/>
                                    <w:right w:val="none" w:sz="0" w:space="0" w:color="auto"/>
                                  </w:divBdr>
                                  <w:divsChild>
                                    <w:div w:id="1967538393">
                                      <w:marLeft w:val="0"/>
                                      <w:marRight w:val="0"/>
                                      <w:marTop w:val="0"/>
                                      <w:marBottom w:val="0"/>
                                      <w:divBdr>
                                        <w:top w:val="none" w:sz="0" w:space="0" w:color="auto"/>
                                        <w:left w:val="none" w:sz="0" w:space="0" w:color="auto"/>
                                        <w:bottom w:val="none" w:sz="0" w:space="0" w:color="auto"/>
                                        <w:right w:val="none" w:sz="0" w:space="0" w:color="auto"/>
                                      </w:divBdr>
                                      <w:divsChild>
                                        <w:div w:id="2071733901">
                                          <w:marLeft w:val="0"/>
                                          <w:marRight w:val="0"/>
                                          <w:marTop w:val="0"/>
                                          <w:marBottom w:val="0"/>
                                          <w:divBdr>
                                            <w:top w:val="none" w:sz="0" w:space="0" w:color="auto"/>
                                            <w:left w:val="none" w:sz="0" w:space="0" w:color="auto"/>
                                            <w:bottom w:val="none" w:sz="0" w:space="0" w:color="auto"/>
                                            <w:right w:val="none" w:sz="0" w:space="0" w:color="auto"/>
                                          </w:divBdr>
                                          <w:divsChild>
                                            <w:div w:id="1107237122">
                                              <w:marLeft w:val="0"/>
                                              <w:marRight w:val="0"/>
                                              <w:marTop w:val="0"/>
                                              <w:marBottom w:val="0"/>
                                              <w:divBdr>
                                                <w:top w:val="none" w:sz="0" w:space="0" w:color="auto"/>
                                                <w:left w:val="none" w:sz="0" w:space="0" w:color="auto"/>
                                                <w:bottom w:val="none" w:sz="0" w:space="0" w:color="auto"/>
                                                <w:right w:val="none" w:sz="0" w:space="0" w:color="auto"/>
                                              </w:divBdr>
                                              <w:divsChild>
                                                <w:div w:id="1653019059">
                                                  <w:marLeft w:val="0"/>
                                                  <w:marRight w:val="0"/>
                                                  <w:marTop w:val="0"/>
                                                  <w:marBottom w:val="0"/>
                                                  <w:divBdr>
                                                    <w:top w:val="none" w:sz="0" w:space="0" w:color="auto"/>
                                                    <w:left w:val="none" w:sz="0" w:space="0" w:color="auto"/>
                                                    <w:bottom w:val="none" w:sz="0" w:space="0" w:color="auto"/>
                                                    <w:right w:val="none" w:sz="0" w:space="0" w:color="auto"/>
                                                  </w:divBdr>
                                                </w:div>
                                                <w:div w:id="733505518">
                                                  <w:marLeft w:val="0"/>
                                                  <w:marRight w:val="0"/>
                                                  <w:marTop w:val="0"/>
                                                  <w:marBottom w:val="0"/>
                                                  <w:divBdr>
                                                    <w:top w:val="none" w:sz="0" w:space="0" w:color="auto"/>
                                                    <w:left w:val="none" w:sz="0" w:space="0" w:color="auto"/>
                                                    <w:bottom w:val="none" w:sz="0" w:space="0" w:color="auto"/>
                                                    <w:right w:val="none" w:sz="0" w:space="0" w:color="auto"/>
                                                  </w:divBdr>
                                                  <w:divsChild>
                                                    <w:div w:id="3473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4328333">
      <w:bodyDiv w:val="1"/>
      <w:marLeft w:val="0"/>
      <w:marRight w:val="0"/>
      <w:marTop w:val="0"/>
      <w:marBottom w:val="0"/>
      <w:divBdr>
        <w:top w:val="none" w:sz="0" w:space="0" w:color="auto"/>
        <w:left w:val="none" w:sz="0" w:space="0" w:color="auto"/>
        <w:bottom w:val="none" w:sz="0" w:space="0" w:color="auto"/>
        <w:right w:val="none" w:sz="0" w:space="0" w:color="auto"/>
      </w:divBdr>
    </w:div>
    <w:div w:id="833492558">
      <w:bodyDiv w:val="1"/>
      <w:marLeft w:val="0"/>
      <w:marRight w:val="0"/>
      <w:marTop w:val="0"/>
      <w:marBottom w:val="0"/>
      <w:divBdr>
        <w:top w:val="none" w:sz="0" w:space="0" w:color="auto"/>
        <w:left w:val="none" w:sz="0" w:space="0" w:color="auto"/>
        <w:bottom w:val="none" w:sz="0" w:space="0" w:color="auto"/>
        <w:right w:val="none" w:sz="0" w:space="0" w:color="auto"/>
      </w:divBdr>
      <w:divsChild>
        <w:div w:id="595018118">
          <w:marLeft w:val="0"/>
          <w:marRight w:val="320"/>
          <w:marTop w:val="0"/>
          <w:marBottom w:val="320"/>
          <w:divBdr>
            <w:top w:val="single" w:sz="6" w:space="0" w:color="89BBF6"/>
            <w:left w:val="single" w:sz="6" w:space="0" w:color="89BBF6"/>
            <w:bottom w:val="single" w:sz="6" w:space="0" w:color="89BBF6"/>
            <w:right w:val="single" w:sz="6" w:space="0" w:color="89BBF6"/>
          </w:divBdr>
        </w:div>
        <w:div w:id="1152869935">
          <w:marLeft w:val="0"/>
          <w:marRight w:val="0"/>
          <w:marTop w:val="0"/>
          <w:marBottom w:val="150"/>
          <w:divBdr>
            <w:top w:val="none" w:sz="0" w:space="0" w:color="auto"/>
            <w:left w:val="none" w:sz="0" w:space="0" w:color="auto"/>
            <w:bottom w:val="none" w:sz="0" w:space="0" w:color="auto"/>
            <w:right w:val="none" w:sz="0" w:space="0" w:color="auto"/>
          </w:divBdr>
        </w:div>
      </w:divsChild>
    </w:div>
    <w:div w:id="1115950817">
      <w:bodyDiv w:val="1"/>
      <w:marLeft w:val="0"/>
      <w:marRight w:val="0"/>
      <w:marTop w:val="0"/>
      <w:marBottom w:val="0"/>
      <w:divBdr>
        <w:top w:val="none" w:sz="0" w:space="0" w:color="auto"/>
        <w:left w:val="none" w:sz="0" w:space="0" w:color="auto"/>
        <w:bottom w:val="none" w:sz="0" w:space="0" w:color="auto"/>
        <w:right w:val="none" w:sz="0" w:space="0" w:color="auto"/>
      </w:divBdr>
      <w:divsChild>
        <w:div w:id="1206915838">
          <w:marLeft w:val="0"/>
          <w:marRight w:val="0"/>
          <w:marTop w:val="0"/>
          <w:marBottom w:val="0"/>
          <w:divBdr>
            <w:top w:val="none" w:sz="0" w:space="0" w:color="auto"/>
            <w:left w:val="none" w:sz="0" w:space="0" w:color="auto"/>
            <w:bottom w:val="none" w:sz="0" w:space="0" w:color="auto"/>
            <w:right w:val="none" w:sz="0" w:space="0" w:color="auto"/>
          </w:divBdr>
          <w:divsChild>
            <w:div w:id="506672861">
              <w:marLeft w:val="0"/>
              <w:marRight w:val="0"/>
              <w:marTop w:val="0"/>
              <w:marBottom w:val="0"/>
              <w:divBdr>
                <w:top w:val="none" w:sz="0" w:space="0" w:color="auto"/>
                <w:left w:val="none" w:sz="0" w:space="0" w:color="auto"/>
                <w:bottom w:val="none" w:sz="0" w:space="0" w:color="auto"/>
                <w:right w:val="none" w:sz="0" w:space="0" w:color="auto"/>
              </w:divBdr>
              <w:divsChild>
                <w:div w:id="228541515">
                  <w:marLeft w:val="-225"/>
                  <w:marRight w:val="-225"/>
                  <w:marTop w:val="0"/>
                  <w:marBottom w:val="0"/>
                  <w:divBdr>
                    <w:top w:val="none" w:sz="0" w:space="0" w:color="auto"/>
                    <w:left w:val="none" w:sz="0" w:space="0" w:color="auto"/>
                    <w:bottom w:val="none" w:sz="0" w:space="0" w:color="auto"/>
                    <w:right w:val="none" w:sz="0" w:space="0" w:color="auto"/>
                  </w:divBdr>
                  <w:divsChild>
                    <w:div w:id="930166014">
                      <w:marLeft w:val="0"/>
                      <w:marRight w:val="0"/>
                      <w:marTop w:val="0"/>
                      <w:marBottom w:val="0"/>
                      <w:divBdr>
                        <w:top w:val="none" w:sz="0" w:space="0" w:color="auto"/>
                        <w:left w:val="none" w:sz="0" w:space="0" w:color="auto"/>
                        <w:bottom w:val="none" w:sz="0" w:space="0" w:color="auto"/>
                        <w:right w:val="none" w:sz="0" w:space="0" w:color="auto"/>
                      </w:divBdr>
                    </w:div>
                    <w:div w:id="50563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498313">
          <w:marLeft w:val="0"/>
          <w:marRight w:val="0"/>
          <w:marTop w:val="300"/>
          <w:marBottom w:val="0"/>
          <w:divBdr>
            <w:top w:val="none" w:sz="0" w:space="0" w:color="auto"/>
            <w:left w:val="none" w:sz="0" w:space="0" w:color="auto"/>
            <w:bottom w:val="none" w:sz="0" w:space="0" w:color="auto"/>
            <w:right w:val="none" w:sz="0" w:space="0" w:color="auto"/>
          </w:divBdr>
          <w:divsChild>
            <w:div w:id="243340501">
              <w:marLeft w:val="0"/>
              <w:marRight w:val="0"/>
              <w:marTop w:val="0"/>
              <w:marBottom w:val="0"/>
              <w:divBdr>
                <w:top w:val="none" w:sz="0" w:space="0" w:color="auto"/>
                <w:left w:val="none" w:sz="0" w:space="0" w:color="auto"/>
                <w:bottom w:val="none" w:sz="0" w:space="0" w:color="auto"/>
                <w:right w:val="none" w:sz="0" w:space="0" w:color="auto"/>
              </w:divBdr>
              <w:divsChild>
                <w:div w:id="1426463279">
                  <w:marLeft w:val="0"/>
                  <w:marRight w:val="0"/>
                  <w:marTop w:val="0"/>
                  <w:marBottom w:val="0"/>
                  <w:divBdr>
                    <w:top w:val="none" w:sz="0" w:space="0" w:color="auto"/>
                    <w:left w:val="none" w:sz="0" w:space="0" w:color="auto"/>
                    <w:bottom w:val="none" w:sz="0" w:space="0" w:color="auto"/>
                    <w:right w:val="none" w:sz="0" w:space="0" w:color="auto"/>
                  </w:divBdr>
                  <w:divsChild>
                    <w:div w:id="428819703">
                      <w:marLeft w:val="0"/>
                      <w:marRight w:val="0"/>
                      <w:marTop w:val="0"/>
                      <w:marBottom w:val="0"/>
                      <w:divBdr>
                        <w:top w:val="none" w:sz="0" w:space="0" w:color="auto"/>
                        <w:left w:val="none" w:sz="0" w:space="0" w:color="auto"/>
                        <w:bottom w:val="none" w:sz="0" w:space="0" w:color="auto"/>
                        <w:right w:val="none" w:sz="0" w:space="0" w:color="auto"/>
                      </w:divBdr>
                      <w:divsChild>
                        <w:div w:id="762920238">
                          <w:marLeft w:val="0"/>
                          <w:marRight w:val="0"/>
                          <w:marTop w:val="0"/>
                          <w:marBottom w:val="0"/>
                          <w:divBdr>
                            <w:top w:val="none" w:sz="0" w:space="0" w:color="auto"/>
                            <w:left w:val="none" w:sz="0" w:space="0" w:color="auto"/>
                            <w:bottom w:val="none" w:sz="0" w:space="0" w:color="auto"/>
                            <w:right w:val="none" w:sz="0" w:space="0" w:color="auto"/>
                          </w:divBdr>
                          <w:divsChild>
                            <w:div w:id="62607709">
                              <w:marLeft w:val="0"/>
                              <w:marRight w:val="0"/>
                              <w:marTop w:val="0"/>
                              <w:marBottom w:val="0"/>
                              <w:divBdr>
                                <w:top w:val="none" w:sz="0" w:space="0" w:color="auto"/>
                                <w:left w:val="none" w:sz="0" w:space="0" w:color="auto"/>
                                <w:bottom w:val="none" w:sz="0" w:space="0" w:color="auto"/>
                                <w:right w:val="none" w:sz="0" w:space="0" w:color="auto"/>
                              </w:divBdr>
                              <w:divsChild>
                                <w:div w:id="59789400">
                                  <w:marLeft w:val="0"/>
                                  <w:marRight w:val="0"/>
                                  <w:marTop w:val="0"/>
                                  <w:marBottom w:val="0"/>
                                  <w:divBdr>
                                    <w:top w:val="none" w:sz="0" w:space="0" w:color="auto"/>
                                    <w:left w:val="none" w:sz="0" w:space="0" w:color="auto"/>
                                    <w:bottom w:val="none" w:sz="0" w:space="0" w:color="auto"/>
                                    <w:right w:val="none" w:sz="0" w:space="0" w:color="auto"/>
                                  </w:divBdr>
                                  <w:divsChild>
                                    <w:div w:id="1218400625">
                                      <w:marLeft w:val="0"/>
                                      <w:marRight w:val="0"/>
                                      <w:marTop w:val="0"/>
                                      <w:marBottom w:val="0"/>
                                      <w:divBdr>
                                        <w:top w:val="none" w:sz="0" w:space="0" w:color="auto"/>
                                        <w:left w:val="none" w:sz="0" w:space="0" w:color="auto"/>
                                        <w:bottom w:val="none" w:sz="0" w:space="0" w:color="auto"/>
                                        <w:right w:val="none" w:sz="0" w:space="0" w:color="auto"/>
                                      </w:divBdr>
                                    </w:div>
                                    <w:div w:id="685061981">
                                      <w:marLeft w:val="150"/>
                                      <w:marRight w:val="0"/>
                                      <w:marTop w:val="150"/>
                                      <w:marBottom w:val="0"/>
                                      <w:divBdr>
                                        <w:top w:val="none" w:sz="0" w:space="0" w:color="auto"/>
                                        <w:left w:val="none" w:sz="0" w:space="0" w:color="auto"/>
                                        <w:bottom w:val="none" w:sz="0" w:space="0" w:color="auto"/>
                                        <w:right w:val="none" w:sz="0" w:space="0" w:color="auto"/>
                                      </w:divBdr>
                                      <w:divsChild>
                                        <w:div w:id="199887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3631">
                                  <w:marLeft w:val="0"/>
                                  <w:marRight w:val="0"/>
                                  <w:marTop w:val="75"/>
                                  <w:marBottom w:val="0"/>
                                  <w:divBdr>
                                    <w:top w:val="none" w:sz="0" w:space="0" w:color="auto"/>
                                    <w:left w:val="none" w:sz="0" w:space="0" w:color="auto"/>
                                    <w:bottom w:val="none" w:sz="0" w:space="0" w:color="auto"/>
                                    <w:right w:val="none" w:sz="0" w:space="0" w:color="auto"/>
                                  </w:divBdr>
                                  <w:divsChild>
                                    <w:div w:id="914975342">
                                      <w:marLeft w:val="0"/>
                                      <w:marRight w:val="0"/>
                                      <w:marTop w:val="0"/>
                                      <w:marBottom w:val="0"/>
                                      <w:divBdr>
                                        <w:top w:val="none" w:sz="0" w:space="0" w:color="auto"/>
                                        <w:left w:val="none" w:sz="0" w:space="0" w:color="auto"/>
                                        <w:bottom w:val="none" w:sz="0" w:space="0" w:color="auto"/>
                                        <w:right w:val="none" w:sz="0" w:space="0" w:color="auto"/>
                                      </w:divBdr>
                                      <w:divsChild>
                                        <w:div w:id="189257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712422">
                              <w:marLeft w:val="0"/>
                              <w:marRight w:val="0"/>
                              <w:marTop w:val="0"/>
                              <w:marBottom w:val="0"/>
                              <w:divBdr>
                                <w:top w:val="none" w:sz="0" w:space="0" w:color="auto"/>
                                <w:left w:val="none" w:sz="0" w:space="0" w:color="auto"/>
                                <w:bottom w:val="none" w:sz="0" w:space="0" w:color="auto"/>
                                <w:right w:val="none" w:sz="0" w:space="0" w:color="auto"/>
                              </w:divBdr>
                              <w:divsChild>
                                <w:div w:id="190841933">
                                  <w:marLeft w:val="0"/>
                                  <w:marRight w:val="0"/>
                                  <w:marTop w:val="0"/>
                                  <w:marBottom w:val="0"/>
                                  <w:divBdr>
                                    <w:top w:val="none" w:sz="0" w:space="0" w:color="auto"/>
                                    <w:left w:val="none" w:sz="0" w:space="0" w:color="auto"/>
                                    <w:bottom w:val="none" w:sz="0" w:space="0" w:color="auto"/>
                                    <w:right w:val="none" w:sz="0" w:space="0" w:color="auto"/>
                                  </w:divBdr>
                                </w:div>
                                <w:div w:id="1863544924">
                                  <w:marLeft w:val="150"/>
                                  <w:marRight w:val="0"/>
                                  <w:marTop w:val="150"/>
                                  <w:marBottom w:val="0"/>
                                  <w:divBdr>
                                    <w:top w:val="none" w:sz="0" w:space="0" w:color="auto"/>
                                    <w:left w:val="none" w:sz="0" w:space="0" w:color="auto"/>
                                    <w:bottom w:val="none" w:sz="0" w:space="0" w:color="auto"/>
                                    <w:right w:val="none" w:sz="0" w:space="0" w:color="auto"/>
                                  </w:divBdr>
                                  <w:divsChild>
                                    <w:div w:id="1078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0645">
                              <w:marLeft w:val="0"/>
                              <w:marRight w:val="0"/>
                              <w:marTop w:val="0"/>
                              <w:marBottom w:val="0"/>
                              <w:divBdr>
                                <w:top w:val="none" w:sz="0" w:space="0" w:color="auto"/>
                                <w:left w:val="none" w:sz="0" w:space="0" w:color="auto"/>
                                <w:bottom w:val="none" w:sz="0" w:space="0" w:color="auto"/>
                                <w:right w:val="none" w:sz="0" w:space="0" w:color="auto"/>
                              </w:divBdr>
                              <w:divsChild>
                                <w:div w:id="601037455">
                                  <w:marLeft w:val="0"/>
                                  <w:marRight w:val="0"/>
                                  <w:marTop w:val="75"/>
                                  <w:marBottom w:val="0"/>
                                  <w:divBdr>
                                    <w:top w:val="none" w:sz="0" w:space="0" w:color="auto"/>
                                    <w:left w:val="none" w:sz="0" w:space="0" w:color="auto"/>
                                    <w:bottom w:val="none" w:sz="0" w:space="0" w:color="auto"/>
                                    <w:right w:val="none" w:sz="0" w:space="0" w:color="auto"/>
                                  </w:divBdr>
                                  <w:divsChild>
                                    <w:div w:id="797839305">
                                      <w:marLeft w:val="0"/>
                                      <w:marRight w:val="0"/>
                                      <w:marTop w:val="0"/>
                                      <w:marBottom w:val="0"/>
                                      <w:divBdr>
                                        <w:top w:val="none" w:sz="0" w:space="0" w:color="auto"/>
                                        <w:left w:val="none" w:sz="0" w:space="0" w:color="auto"/>
                                        <w:bottom w:val="none" w:sz="0" w:space="0" w:color="auto"/>
                                        <w:right w:val="none" w:sz="0" w:space="0" w:color="auto"/>
                                      </w:divBdr>
                                      <w:divsChild>
                                        <w:div w:id="1659309335">
                                          <w:marLeft w:val="0"/>
                                          <w:marRight w:val="0"/>
                                          <w:marTop w:val="0"/>
                                          <w:marBottom w:val="0"/>
                                          <w:divBdr>
                                            <w:top w:val="none" w:sz="0" w:space="0" w:color="auto"/>
                                            <w:left w:val="none" w:sz="0" w:space="0" w:color="auto"/>
                                            <w:bottom w:val="none" w:sz="0" w:space="0" w:color="auto"/>
                                            <w:right w:val="none" w:sz="0" w:space="0" w:color="auto"/>
                                          </w:divBdr>
                                          <w:divsChild>
                                            <w:div w:id="1157259216">
                                              <w:marLeft w:val="0"/>
                                              <w:marRight w:val="0"/>
                                              <w:marTop w:val="0"/>
                                              <w:marBottom w:val="0"/>
                                              <w:divBdr>
                                                <w:top w:val="none" w:sz="0" w:space="0" w:color="auto"/>
                                                <w:left w:val="none" w:sz="0" w:space="0" w:color="auto"/>
                                                <w:bottom w:val="none" w:sz="0" w:space="0" w:color="auto"/>
                                                <w:right w:val="none" w:sz="0" w:space="0" w:color="auto"/>
                                              </w:divBdr>
                                              <w:divsChild>
                                                <w:div w:id="771247382">
                                                  <w:marLeft w:val="0"/>
                                                  <w:marRight w:val="0"/>
                                                  <w:marTop w:val="0"/>
                                                  <w:marBottom w:val="0"/>
                                                  <w:divBdr>
                                                    <w:top w:val="none" w:sz="0" w:space="0" w:color="auto"/>
                                                    <w:left w:val="none" w:sz="0" w:space="0" w:color="auto"/>
                                                    <w:bottom w:val="none" w:sz="0" w:space="0" w:color="auto"/>
                                                    <w:right w:val="none" w:sz="0" w:space="0" w:color="auto"/>
                                                  </w:divBdr>
                                                </w:div>
                                                <w:div w:id="1295868566">
                                                  <w:marLeft w:val="0"/>
                                                  <w:marRight w:val="0"/>
                                                  <w:marTop w:val="0"/>
                                                  <w:marBottom w:val="0"/>
                                                  <w:divBdr>
                                                    <w:top w:val="none" w:sz="0" w:space="0" w:color="auto"/>
                                                    <w:left w:val="none" w:sz="0" w:space="0" w:color="auto"/>
                                                    <w:bottom w:val="none" w:sz="0" w:space="0" w:color="auto"/>
                                                    <w:right w:val="none" w:sz="0" w:space="0" w:color="auto"/>
                                                  </w:divBdr>
                                                  <w:divsChild>
                                                    <w:div w:id="183398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78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b-ebscohost-com.contentproxy.phoenix.edu/ehost/detail/detail?vid=2&amp;sid=49de4fc3-0fe5-4902-927e-ad3df28b31b5%40sessionmgr103&amp;bdata=JnNpdGU9ZWhvc3QtbGl2ZSZzY29wZT1zaXRl" TargetMode="External"/><Relationship Id="rId18" Type="http://schemas.openxmlformats.org/officeDocument/2006/relationships/hyperlink" Target="https://web-b-ebscohost-com.contentproxy.phoenix.edu/ehost/detail/detail?vid=2&amp;sid=49de4fc3-0fe5-4902-927e-ad3df28b31b5%40sessionmgr103&amp;bdata=JnNpdGU9ZWhvc3QtbGl2ZSZzY29wZT1zaXRl" TargetMode="External"/><Relationship Id="rId26" Type="http://schemas.openxmlformats.org/officeDocument/2006/relationships/hyperlink" Target="https://web-b-ebscohost-com.contentproxy.phoenix.edu/ehost/detail/detail?vid=2&amp;sid=49de4fc3-0fe5-4902-927e-ad3df28b31b5%40sessionmgr103&amp;bdata=JnNpdGU9ZWhvc3QtbGl2ZSZzY29wZT1zaXRl" TargetMode="External"/><Relationship Id="rId39" Type="http://schemas.openxmlformats.org/officeDocument/2006/relationships/hyperlink" Target="https://web-b-ebscohost-com.contentproxy.phoenix.edu/ehost/detail/detail?vid=2&amp;sid=49de4fc3-0fe5-4902-927e-ad3df28b31b5%40sessionmgr103&amp;bdata=JnNpdGU9ZWhvc3QtbGl2ZSZzY29wZT1zaXRl" TargetMode="External"/><Relationship Id="rId21" Type="http://schemas.openxmlformats.org/officeDocument/2006/relationships/hyperlink" Target="https://web-b-ebscohost-com.contentproxy.phoenix.edu/ehost/detail/detail?vid=2&amp;sid=49de4fc3-0fe5-4902-927e-ad3df28b31b5%40sessionmgr103&amp;bdata=JnNpdGU9ZWhvc3QtbGl2ZSZzY29wZT1zaXRl" TargetMode="External"/><Relationship Id="rId34" Type="http://schemas.openxmlformats.org/officeDocument/2006/relationships/hyperlink" Target="https://web-b-ebscohost-com.contentproxy.phoenix.edu/ehost/detail/detail?vid=2&amp;sid=49de4fc3-0fe5-4902-927e-ad3df28b31b5%40sessionmgr103&amp;bdata=JnNpdGU9ZWhvc3QtbGl2ZSZzY29wZT1zaXRl" TargetMode="External"/><Relationship Id="rId42" Type="http://schemas.openxmlformats.org/officeDocument/2006/relationships/hyperlink" Target="https://web-b-ebscohost-com.contentproxy.phoenix.edu/ehost/detail/detail?vid=2&amp;sid=49de4fc3-0fe5-4902-927e-ad3df28b31b5%40sessionmgr103&amp;bdata=JnNpdGU9ZWhvc3QtbGl2ZSZzY29wZT1zaXRl" TargetMode="External"/><Relationship Id="rId47" Type="http://schemas.openxmlformats.org/officeDocument/2006/relationships/hyperlink" Target="https://web-b-ebscohost-com.contentproxy.phoenix.edu/ehost/detail/detail?vid=2&amp;sid=49de4fc3-0fe5-4902-927e-ad3df28b31b5%40sessionmgr103&amp;bdata=JnNpdGU9ZWhvc3QtbGl2ZSZzY29wZT1zaXRl" TargetMode="External"/><Relationship Id="rId50" Type="http://schemas.openxmlformats.org/officeDocument/2006/relationships/hyperlink" Target="https://web-b-ebscohost-com.contentproxy.phoenix.edu/ehost/detail/detail?vid=2&amp;sid=49de4fc3-0fe5-4902-927e-ad3df28b31b5%40sessionmgr103&amp;bdata=JnNpdGU9ZWhvc3QtbGl2ZSZzY29wZT1zaXRl" TargetMode="External"/><Relationship Id="rId55" Type="http://schemas.openxmlformats.org/officeDocument/2006/relationships/hyperlink" Target="https://web-b-ebscohost-com.contentproxy.phoenix.edu/ehost/detail/detail?vid=2&amp;sid=49de4fc3-0fe5-4902-927e-ad3df28b31b5%40sessionmgr103&amp;bdata=JnNpdGU9ZWhvc3QtbGl2ZSZzY29wZT1zaXRl" TargetMode="External"/><Relationship Id="rId63" Type="http://schemas.openxmlformats.org/officeDocument/2006/relationships/hyperlink" Target="https://web-b-ebscohost-com.contentproxy.phoenix.edu/ehost/detail/detail?vid=2&amp;sid=49de4fc3-0fe5-4902-927e-ad3df28b31b5%40sessionmgr103&amp;bdata=JnNpdGU9ZWhvc3QtbGl2ZSZzY29wZT1zaXRl" TargetMode="External"/><Relationship Id="rId68" Type="http://schemas.openxmlformats.org/officeDocument/2006/relationships/hyperlink" Target="https://web-b-ebscohost-com.contentproxy.phoenix.edu/ehost/detail/detail?vid=2&amp;sid=49de4fc3-0fe5-4902-927e-ad3df28b31b5%40sessionmgr103&amp;bdata=JnNpdGU9ZWhvc3QtbGl2ZSZzY29wZT1zaXRl" TargetMode="External"/><Relationship Id="rId7" Type="http://schemas.openxmlformats.org/officeDocument/2006/relationships/hyperlink" Target="https://search-proquest-com.contentproxy.phoenix.edu/indexinglinkhandler/sng/au/Johnston,+Sara+P/$N?accountid=134061"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eb-b-ebscohost-com.contentproxy.phoenix.edu/ehost/detail/detail?vid=2&amp;sid=49de4fc3-0fe5-4902-927e-ad3df28b31b5%40sessionmgr103&amp;bdata=JnNpdGU9ZWhvc3QtbGl2ZSZzY29wZT1zaXRl" TargetMode="External"/><Relationship Id="rId29" Type="http://schemas.openxmlformats.org/officeDocument/2006/relationships/hyperlink" Target="https://web-b-ebscohost-com.contentproxy.phoenix.edu/ehost/detail/detail?vid=2&amp;sid=49de4fc3-0fe5-4902-927e-ad3df28b31b5%40sessionmgr103&amp;bdata=JnNpdGU9ZWhvc3QtbGl2ZSZzY29wZT1zaXRl" TargetMode="External"/><Relationship Id="rId1" Type="http://schemas.openxmlformats.org/officeDocument/2006/relationships/numbering" Target="numbering.xml"/><Relationship Id="rId6" Type="http://schemas.openxmlformats.org/officeDocument/2006/relationships/hyperlink" Target="https://search-proquest-com.contentproxy.phoenix.edu/indexinglinkhandler/sng/au/Hartley,+Michael+T/$N?accountid=134061" TargetMode="External"/><Relationship Id="rId11" Type="http://schemas.openxmlformats.org/officeDocument/2006/relationships/hyperlink" Target="https://web-b-ebscohost-com.contentproxy.phoenix.edu/ehost/detail/detail?vid=2&amp;sid=49de4fc3-0fe5-4902-927e-ad3df28b31b5%40sessionmgr103&amp;bdata=JnNpdGU9ZWhvc3QtbGl2ZSZzY29wZT1zaXRl" TargetMode="External"/><Relationship Id="rId24" Type="http://schemas.openxmlformats.org/officeDocument/2006/relationships/hyperlink" Target="https://web-b-ebscohost-com.contentproxy.phoenix.edu/ehost/detail/detail?vid=2&amp;sid=49de4fc3-0fe5-4902-927e-ad3df28b31b5%40sessionmgr103&amp;bdata=JnNpdGU9ZWhvc3QtbGl2ZSZzY29wZT1zaXRl" TargetMode="External"/><Relationship Id="rId32" Type="http://schemas.openxmlformats.org/officeDocument/2006/relationships/hyperlink" Target="https://web-b-ebscohost-com.contentproxy.phoenix.edu/ehost/detail/detail?vid=2&amp;sid=49de4fc3-0fe5-4902-927e-ad3df28b31b5%40sessionmgr103&amp;bdata=JnNpdGU9ZWhvc3QtbGl2ZSZzY29wZT1zaXRl" TargetMode="External"/><Relationship Id="rId37" Type="http://schemas.openxmlformats.org/officeDocument/2006/relationships/hyperlink" Target="https://web-b-ebscohost-com.contentproxy.phoenix.edu/ehost/detail/detail?vid=2&amp;sid=49de4fc3-0fe5-4902-927e-ad3df28b31b5%40sessionmgr103&amp;bdata=JnNpdGU9ZWhvc3QtbGl2ZSZzY29wZT1zaXRl" TargetMode="External"/><Relationship Id="rId40" Type="http://schemas.openxmlformats.org/officeDocument/2006/relationships/hyperlink" Target="https://web-b-ebscohost-com.contentproxy.phoenix.edu/ehost/detail/detail?vid=2&amp;sid=49de4fc3-0fe5-4902-927e-ad3df28b31b5%40sessionmgr103&amp;bdata=JnNpdGU9ZWhvc3QtbGl2ZSZzY29wZT1zaXRl" TargetMode="External"/><Relationship Id="rId45" Type="http://schemas.openxmlformats.org/officeDocument/2006/relationships/hyperlink" Target="https://web-b-ebscohost-com.contentproxy.phoenix.edu/ehost/detail/detail?vid=2&amp;sid=49de4fc3-0fe5-4902-927e-ad3df28b31b5%40sessionmgr103&amp;bdata=JnNpdGU9ZWhvc3QtbGl2ZSZzY29wZT1zaXRl" TargetMode="External"/><Relationship Id="rId53" Type="http://schemas.openxmlformats.org/officeDocument/2006/relationships/hyperlink" Target="https://web-b-ebscohost-com.contentproxy.phoenix.edu/ehost/detail/detail?vid=2&amp;sid=49de4fc3-0fe5-4902-927e-ad3df28b31b5%40sessionmgr103&amp;bdata=JnNpdGU9ZWhvc3QtbGl2ZSZzY29wZT1zaXRl" TargetMode="External"/><Relationship Id="rId58" Type="http://schemas.openxmlformats.org/officeDocument/2006/relationships/hyperlink" Target="https://web-b-ebscohost-com.contentproxy.phoenix.edu/ehost/detail/detail?vid=2&amp;sid=49de4fc3-0fe5-4902-927e-ad3df28b31b5%40sessionmgr103&amp;bdata=JnNpdGU9ZWhvc3QtbGl2ZSZzY29wZT1zaXRl" TargetMode="External"/><Relationship Id="rId66" Type="http://schemas.openxmlformats.org/officeDocument/2006/relationships/hyperlink" Target="https://web-b-ebscohost-com.contentproxy.phoenix.edu/ehost/detail/detail?vid=2&amp;sid=49de4fc3-0fe5-4902-927e-ad3df28b31b5%40sessionmgr103&amp;bdata=JnNpdGU9ZWhvc3QtbGl2ZSZzY29wZT1zaXRl" TargetMode="External"/><Relationship Id="rId5" Type="http://schemas.openxmlformats.org/officeDocument/2006/relationships/webSettings" Target="webSettings.xml"/><Relationship Id="rId15" Type="http://schemas.openxmlformats.org/officeDocument/2006/relationships/hyperlink" Target="https://web-b-ebscohost-com.contentproxy.phoenix.edu/ehost/detail/detail?vid=2&amp;sid=49de4fc3-0fe5-4902-927e-ad3df28b31b5%40sessionmgr103&amp;bdata=JnNpdGU9ZWhvc3QtbGl2ZSZzY29wZT1zaXRl" TargetMode="External"/><Relationship Id="rId23" Type="http://schemas.openxmlformats.org/officeDocument/2006/relationships/hyperlink" Target="https://web-b-ebscohost-com.contentproxy.phoenix.edu/ehost/detail/detail?vid=2&amp;sid=49de4fc3-0fe5-4902-927e-ad3df28b31b5%40sessionmgr103&amp;bdata=JnNpdGU9ZWhvc3QtbGl2ZSZzY29wZT1zaXRl" TargetMode="External"/><Relationship Id="rId28" Type="http://schemas.openxmlformats.org/officeDocument/2006/relationships/hyperlink" Target="https://web-b-ebscohost-com.contentproxy.phoenix.edu/ehost/detail/detail?vid=2&amp;sid=49de4fc3-0fe5-4902-927e-ad3df28b31b5%40sessionmgr103&amp;bdata=JnNpdGU9ZWhvc3QtbGl2ZSZzY29wZT1zaXRl" TargetMode="External"/><Relationship Id="rId36" Type="http://schemas.openxmlformats.org/officeDocument/2006/relationships/hyperlink" Target="https://web-b-ebscohost-com.contentproxy.phoenix.edu/ehost/detail/detail?vid=2&amp;sid=49de4fc3-0fe5-4902-927e-ad3df28b31b5%40sessionmgr103&amp;bdata=JnNpdGU9ZWhvc3QtbGl2ZSZzY29wZT1zaXRl" TargetMode="External"/><Relationship Id="rId49" Type="http://schemas.openxmlformats.org/officeDocument/2006/relationships/hyperlink" Target="https://web-b-ebscohost-com.contentproxy.phoenix.edu/ehost/detail/detail?vid=2&amp;sid=49de4fc3-0fe5-4902-927e-ad3df28b31b5%40sessionmgr103&amp;bdata=JnNpdGU9ZWhvc3QtbGl2ZSZzY29wZT1zaXRl" TargetMode="External"/><Relationship Id="rId57" Type="http://schemas.openxmlformats.org/officeDocument/2006/relationships/hyperlink" Target="https://web-b-ebscohost-com.contentproxy.phoenix.edu/ehost/detail/detail?vid=2&amp;sid=49de4fc3-0fe5-4902-927e-ad3df28b31b5%40sessionmgr103&amp;bdata=JnNpdGU9ZWhvc3QtbGl2ZSZzY29wZT1zaXRl" TargetMode="External"/><Relationship Id="rId61" Type="http://schemas.openxmlformats.org/officeDocument/2006/relationships/hyperlink" Target="https://web-b-ebscohost-com.contentproxy.phoenix.edu/ehost/detail/detail?vid=2&amp;sid=49de4fc3-0fe5-4902-927e-ad3df28b31b5%40sessionmgr103&amp;bdata=JnNpdGU9ZWhvc3QtbGl2ZSZzY29wZT1zaXRl" TargetMode="External"/><Relationship Id="rId10" Type="http://schemas.openxmlformats.org/officeDocument/2006/relationships/hyperlink" Target="https://web-b-ebscohost-com.contentproxy.phoenix.edu/ehost/detail/detail?vid=2&amp;sid=49de4fc3-0fe5-4902-927e-ad3df28b31b5%40sessionmgr103&amp;bdata=JnNpdGU9ZWhvc3QtbGl2ZSZzY29wZT1zaXRl" TargetMode="External"/><Relationship Id="rId19" Type="http://schemas.openxmlformats.org/officeDocument/2006/relationships/hyperlink" Target="https://web-b-ebscohost-com.contentproxy.phoenix.edu/ehost/detail/detail?vid=2&amp;sid=49de4fc3-0fe5-4902-927e-ad3df28b31b5%40sessionmgr103&amp;bdata=JnNpdGU9ZWhvc3QtbGl2ZSZzY29wZT1zaXRl" TargetMode="External"/><Relationship Id="rId31" Type="http://schemas.openxmlformats.org/officeDocument/2006/relationships/hyperlink" Target="https://web-b-ebscohost-com.contentproxy.phoenix.edu/ehost/detail/detail?vid=2&amp;sid=49de4fc3-0fe5-4902-927e-ad3df28b31b5%40sessionmgr103&amp;bdata=JnNpdGU9ZWhvc3QtbGl2ZSZzY29wZT1zaXRl" TargetMode="External"/><Relationship Id="rId44" Type="http://schemas.openxmlformats.org/officeDocument/2006/relationships/hyperlink" Target="https://web-b-ebscohost-com.contentproxy.phoenix.edu/ehost/detail/detail?vid=2&amp;sid=49de4fc3-0fe5-4902-927e-ad3df28b31b5%40sessionmgr103&amp;bdata=JnNpdGU9ZWhvc3QtbGl2ZSZzY29wZT1zaXRl" TargetMode="External"/><Relationship Id="rId52" Type="http://schemas.openxmlformats.org/officeDocument/2006/relationships/hyperlink" Target="https://web-b-ebscohost-com.contentproxy.phoenix.edu/ehost/detail/detail?vid=2&amp;sid=49de4fc3-0fe5-4902-927e-ad3df28b31b5%40sessionmgr103&amp;bdata=JnNpdGU9ZWhvc3QtbGl2ZSZzY29wZT1zaXRl" TargetMode="External"/><Relationship Id="rId60" Type="http://schemas.openxmlformats.org/officeDocument/2006/relationships/hyperlink" Target="https://web-b-ebscohost-com.contentproxy.phoenix.edu/ehost/detail/detail?vid=2&amp;sid=49de4fc3-0fe5-4902-927e-ad3df28b31b5%40sessionmgr103&amp;bdata=JnNpdGU9ZWhvc3QtbGl2ZSZzY29wZT1zaXRl" TargetMode="External"/><Relationship Id="rId65" Type="http://schemas.openxmlformats.org/officeDocument/2006/relationships/hyperlink" Target="https://web-b-ebscohost-com.contentproxy.phoenix.edu/ehost/detail/detail?vid=2&amp;sid=49de4fc3-0fe5-4902-927e-ad3df28b31b5%40sessionmgr103&amp;bdata=JnNpdGU9ZWhvc3QtbGl2ZSZzY29wZT1zaXRl" TargetMode="External"/><Relationship Id="rId4" Type="http://schemas.openxmlformats.org/officeDocument/2006/relationships/settings" Target="settings.xml"/><Relationship Id="rId9" Type="http://schemas.openxmlformats.org/officeDocument/2006/relationships/hyperlink" Target="https://search-proquest-com.contentproxy.phoenix.edu/indexingvolumeissuelinkhandler/37110/Journal+of+Rehabilitation/02015Y01Y01$23Jan-Mar+2015$3b++Vol.+81+$281$29/81/1?accountid=134061" TargetMode="External"/><Relationship Id="rId14" Type="http://schemas.openxmlformats.org/officeDocument/2006/relationships/hyperlink" Target="https://web-b-ebscohost-com.contentproxy.phoenix.edu/ehost/detail/detail?vid=2&amp;sid=49de4fc3-0fe5-4902-927e-ad3df28b31b5%40sessionmgr103&amp;bdata=JnNpdGU9ZWhvc3QtbGl2ZSZzY29wZT1zaXRl" TargetMode="External"/><Relationship Id="rId22" Type="http://schemas.openxmlformats.org/officeDocument/2006/relationships/hyperlink" Target="https://web-b-ebscohost-com.contentproxy.phoenix.edu/ehost/detail/detail?vid=2&amp;sid=49de4fc3-0fe5-4902-927e-ad3df28b31b5%40sessionmgr103&amp;bdata=JnNpdGU9ZWhvc3QtbGl2ZSZzY29wZT1zaXRl" TargetMode="External"/><Relationship Id="rId27" Type="http://schemas.openxmlformats.org/officeDocument/2006/relationships/hyperlink" Target="https://web-b-ebscohost-com.contentproxy.phoenix.edu/ehost/detail/detail?vid=2&amp;sid=49de4fc3-0fe5-4902-927e-ad3df28b31b5%40sessionmgr103&amp;bdata=JnNpdGU9ZWhvc3QtbGl2ZSZzY29wZT1zaXRl" TargetMode="External"/><Relationship Id="rId30" Type="http://schemas.openxmlformats.org/officeDocument/2006/relationships/hyperlink" Target="https://web-b-ebscohost-com.contentproxy.phoenix.edu/ehost/detail/detail?vid=2&amp;sid=49de4fc3-0fe5-4902-927e-ad3df28b31b5%40sessionmgr103&amp;bdata=JnNpdGU9ZWhvc3QtbGl2ZSZzY29wZT1zaXRl" TargetMode="External"/><Relationship Id="rId35" Type="http://schemas.openxmlformats.org/officeDocument/2006/relationships/hyperlink" Target="https://web-b-ebscohost-com.contentproxy.phoenix.edu/ehost/detail/detail?vid=2&amp;sid=49de4fc3-0fe5-4902-927e-ad3df28b31b5%40sessionmgr103&amp;bdata=JnNpdGU9ZWhvc3QtbGl2ZSZzY29wZT1zaXRl" TargetMode="External"/><Relationship Id="rId43" Type="http://schemas.openxmlformats.org/officeDocument/2006/relationships/hyperlink" Target="https://web-b-ebscohost-com.contentproxy.phoenix.edu/ehost/detail/detail?vid=2&amp;sid=49de4fc3-0fe5-4902-927e-ad3df28b31b5%40sessionmgr103&amp;bdata=JnNpdGU9ZWhvc3QtbGl2ZSZzY29wZT1zaXRl" TargetMode="External"/><Relationship Id="rId48" Type="http://schemas.openxmlformats.org/officeDocument/2006/relationships/hyperlink" Target="https://web-b-ebscohost-com.contentproxy.phoenix.edu/ehost/detail/detail?vid=2&amp;sid=49de4fc3-0fe5-4902-927e-ad3df28b31b5%40sessionmgr103&amp;bdata=JnNpdGU9ZWhvc3QtbGl2ZSZzY29wZT1zaXRl" TargetMode="External"/><Relationship Id="rId56" Type="http://schemas.openxmlformats.org/officeDocument/2006/relationships/hyperlink" Target="https://web-b-ebscohost-com.contentproxy.phoenix.edu/ehost/detail/detail?vid=2&amp;sid=49de4fc3-0fe5-4902-927e-ad3df28b31b5%40sessionmgr103&amp;bdata=JnNpdGU9ZWhvc3QtbGl2ZSZzY29wZT1zaXRl" TargetMode="External"/><Relationship Id="rId64" Type="http://schemas.openxmlformats.org/officeDocument/2006/relationships/hyperlink" Target="https://web-b-ebscohost-com.contentproxy.phoenix.edu/ehost/detail/detail?vid=2&amp;sid=49de4fc3-0fe5-4902-927e-ad3df28b31b5%40sessionmgr103&amp;bdata=JnNpdGU9ZWhvc3QtbGl2ZSZzY29wZT1zaXRl" TargetMode="External"/><Relationship Id="rId69" Type="http://schemas.openxmlformats.org/officeDocument/2006/relationships/hyperlink" Target="https://web-b-ebscohost-com.contentproxy.phoenix.edu/ehost/detail/detail?vid=2&amp;sid=49de4fc3-0fe5-4902-927e-ad3df28b31b5%40sessionmgr103&amp;bdata=JnNpdGU9ZWhvc3QtbGl2ZSZzY29wZT1zaXRl" TargetMode="External"/><Relationship Id="rId8" Type="http://schemas.openxmlformats.org/officeDocument/2006/relationships/hyperlink" Target="https://search-proquest-com.contentproxy.phoenix.edu/pubidlinkhandler/sng/pubtitle/Journal+of+Rehabilitation/$N/37110/DocView/1672757457/fulltext/20E1BC52BACE4462PQ/1?accountid=134061" TargetMode="External"/><Relationship Id="rId51" Type="http://schemas.openxmlformats.org/officeDocument/2006/relationships/hyperlink" Target="https://web-b-ebscohost-com.contentproxy.phoenix.edu/ehost/detail/detail?vid=2&amp;sid=49de4fc3-0fe5-4902-927e-ad3df28b31b5%40sessionmgr103&amp;bdata=JnNpdGU9ZWhvc3QtbGl2ZSZzY29wZT1zaXRl" TargetMode="External"/><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web-b-ebscohost-com.contentproxy.phoenix.edu/ehost/detail/detail?vid=2&amp;sid=49de4fc3-0fe5-4902-927e-ad3df28b31b5%40sessionmgr103&amp;bdata=JnNpdGU9ZWhvc3QtbGl2ZSZzY29wZT1zaXRl" TargetMode="External"/><Relationship Id="rId17" Type="http://schemas.openxmlformats.org/officeDocument/2006/relationships/hyperlink" Target="https://web-b-ebscohost-com.contentproxy.phoenix.edu/ehost/detail/detail?vid=2&amp;sid=49de4fc3-0fe5-4902-927e-ad3df28b31b5%40sessionmgr103&amp;bdata=JnNpdGU9ZWhvc3QtbGl2ZSZzY29wZT1zaXRl" TargetMode="External"/><Relationship Id="rId25" Type="http://schemas.openxmlformats.org/officeDocument/2006/relationships/hyperlink" Target="https://web-b-ebscohost-com.contentproxy.phoenix.edu/ehost/detail/detail?vid=2&amp;sid=49de4fc3-0fe5-4902-927e-ad3df28b31b5%40sessionmgr103&amp;bdata=JnNpdGU9ZWhvc3QtbGl2ZSZzY29wZT1zaXRl" TargetMode="External"/><Relationship Id="rId33" Type="http://schemas.openxmlformats.org/officeDocument/2006/relationships/hyperlink" Target="https://web-b-ebscohost-com.contentproxy.phoenix.edu/ehost/detail/detail?vid=2&amp;sid=49de4fc3-0fe5-4902-927e-ad3df28b31b5%40sessionmgr103&amp;bdata=JnNpdGU9ZWhvc3QtbGl2ZSZzY29wZT1zaXRl" TargetMode="External"/><Relationship Id="rId38" Type="http://schemas.openxmlformats.org/officeDocument/2006/relationships/hyperlink" Target="https://web-b-ebscohost-com.contentproxy.phoenix.edu/ehost/detail/detail?vid=2&amp;sid=49de4fc3-0fe5-4902-927e-ad3df28b31b5%40sessionmgr103&amp;bdata=JnNpdGU9ZWhvc3QtbGl2ZSZzY29wZT1zaXRl" TargetMode="External"/><Relationship Id="rId46" Type="http://schemas.openxmlformats.org/officeDocument/2006/relationships/hyperlink" Target="https://web-b-ebscohost-com.contentproxy.phoenix.edu/ehost/detail/detail?vid=2&amp;sid=49de4fc3-0fe5-4902-927e-ad3df28b31b5%40sessionmgr103&amp;bdata=JnNpdGU9ZWhvc3QtbGl2ZSZzY29wZT1zaXRl" TargetMode="External"/><Relationship Id="rId59" Type="http://schemas.openxmlformats.org/officeDocument/2006/relationships/hyperlink" Target="https://web-b-ebscohost-com.contentproxy.phoenix.edu/ehost/detail/detail?vid=2&amp;sid=49de4fc3-0fe5-4902-927e-ad3df28b31b5%40sessionmgr103&amp;bdata=JnNpdGU9ZWhvc3QtbGl2ZSZzY29wZT1zaXRl" TargetMode="External"/><Relationship Id="rId67" Type="http://schemas.openxmlformats.org/officeDocument/2006/relationships/hyperlink" Target="https://web-b-ebscohost-com.contentproxy.phoenix.edu/ehost/detail/detail?vid=2&amp;sid=49de4fc3-0fe5-4902-927e-ad3df28b31b5%40sessionmgr103&amp;bdata=JnNpdGU9ZWhvc3QtbGl2ZSZzY29wZT1zaXRl" TargetMode="External"/><Relationship Id="rId20" Type="http://schemas.openxmlformats.org/officeDocument/2006/relationships/hyperlink" Target="https://web-b-ebscohost-com.contentproxy.phoenix.edu/ehost/detail/detail?vid=2&amp;sid=49de4fc3-0fe5-4902-927e-ad3df28b31b5%40sessionmgr103&amp;bdata=JnNpdGU9ZWhvc3QtbGl2ZSZzY29wZT1zaXRl" TargetMode="External"/><Relationship Id="rId41" Type="http://schemas.openxmlformats.org/officeDocument/2006/relationships/hyperlink" Target="https://web-b-ebscohost-com.contentproxy.phoenix.edu/ehost/detail/detail?vid=2&amp;sid=49de4fc3-0fe5-4902-927e-ad3df28b31b5%40sessionmgr103&amp;bdata=JnNpdGU9ZWhvc3QtbGl2ZSZzY29wZT1zaXRl" TargetMode="External"/><Relationship Id="rId54" Type="http://schemas.openxmlformats.org/officeDocument/2006/relationships/hyperlink" Target="https://web-b-ebscohost-com.contentproxy.phoenix.edu/ehost/detail/detail?vid=2&amp;sid=49de4fc3-0fe5-4902-927e-ad3df28b31b5%40sessionmgr103&amp;bdata=JnNpdGU9ZWhvc3QtbGl2ZSZzY29wZT1zaXRl" TargetMode="External"/><Relationship Id="rId62" Type="http://schemas.openxmlformats.org/officeDocument/2006/relationships/hyperlink" Target="https://web-b-ebscohost-com.contentproxy.phoenix.edu/ehost/detail/detail?vid=2&amp;sid=49de4fc3-0fe5-4902-927e-ad3df28b31b5%40sessionmgr103&amp;bdata=JnNpdGU9ZWhvc3QtbGl2ZSZzY29wZT1zaXRl" TargetMode="External"/><Relationship Id="rId70" Type="http://schemas.openxmlformats.org/officeDocument/2006/relationships/hyperlink" Target="https://web-b-ebscohost-com.contentproxy.phoenix.edu/ehost/detail/detail?vid=2&amp;sid=49de4fc3-0fe5-4902-927e-ad3df28b31b5%40sessionmgr103&amp;bdata=JnNpdGU9ZWhvc3QtbGl2ZSZzY29wZT1zaX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57</Pages>
  <Words>26504</Words>
  <Characters>132525</Characters>
  <Application>Microsoft Office Word</Application>
  <DocSecurity>0</DocSecurity>
  <Lines>33131</Lines>
  <Paragraphs>14457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Gutierrez</dc:creator>
  <cp:lastModifiedBy>Erica Gutierrez</cp:lastModifiedBy>
  <cp:revision>4</cp:revision>
  <dcterms:created xsi:type="dcterms:W3CDTF">2019-02-19T14:44:00Z</dcterms:created>
  <dcterms:modified xsi:type="dcterms:W3CDTF">2019-02-19T16:36:00Z</dcterms:modified>
</cp:coreProperties>
</file>